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202A413" w14:textId="77777777">
        <w:trPr>
          <w:trHeight w:val="851"/>
        </w:trPr>
        <w:tc>
          <w:tcPr>
            <w:tcW w:w="1259" w:type="dxa"/>
            <w:tcBorders>
              <w:top w:val="nil"/>
              <w:left w:val="nil"/>
              <w:bottom w:val="single" w:sz="4" w:space="0" w:color="auto"/>
              <w:right w:val="nil"/>
            </w:tcBorders>
          </w:tcPr>
          <w:p w14:paraId="7C5B270A" w14:textId="77777777"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4FF5A058" w14:textId="77777777"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D153799" w14:textId="77777777" w:rsidR="00446DE4" w:rsidRPr="00DE3EC0" w:rsidRDefault="001D18FE" w:rsidP="00590E84">
            <w:pPr>
              <w:jc w:val="right"/>
            </w:pPr>
            <w:r w:rsidRPr="001D18FE">
              <w:rPr>
                <w:sz w:val="40"/>
              </w:rPr>
              <w:t>A</w:t>
            </w:r>
            <w:r>
              <w:t>/HRC/</w:t>
            </w:r>
            <w:r w:rsidR="00590E84">
              <w:t>31</w:t>
            </w:r>
            <w:r>
              <w:t>/L.</w:t>
            </w:r>
          </w:p>
        </w:tc>
      </w:tr>
      <w:tr w:rsidR="003107FA" w14:paraId="20BA6D6F" w14:textId="77777777">
        <w:trPr>
          <w:trHeight w:val="2819"/>
        </w:trPr>
        <w:tc>
          <w:tcPr>
            <w:tcW w:w="1259" w:type="dxa"/>
            <w:tcBorders>
              <w:top w:val="single" w:sz="4" w:space="0" w:color="auto"/>
              <w:left w:val="nil"/>
              <w:bottom w:val="single" w:sz="12" w:space="0" w:color="auto"/>
              <w:right w:val="nil"/>
            </w:tcBorders>
          </w:tcPr>
          <w:p w14:paraId="4A5D4F48" w14:textId="77777777"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78B769F3" w14:textId="77777777" w:rsidR="008B2798" w:rsidRPr="00DD2490" w:rsidRDefault="008B2798" w:rsidP="008B2798">
            <w:pPr>
              <w:rPr>
                <w:b/>
                <w:bCs/>
                <w:color w:val="0000FF"/>
                <w:sz w:val="18"/>
                <w:szCs w:val="18"/>
                <w:u w:val="single"/>
                <w:lang w:val="en-US"/>
              </w:rPr>
            </w:pPr>
            <w:r w:rsidRPr="00DD2490">
              <w:rPr>
                <w:b/>
                <w:bCs/>
                <w:color w:val="0000FF"/>
                <w:sz w:val="18"/>
                <w:szCs w:val="18"/>
                <w:u w:val="single"/>
                <w:lang w:val="en-US"/>
              </w:rPr>
              <w:t>FOR THE SECRETARIAT ONLY</w:t>
            </w:r>
          </w:p>
          <w:p w14:paraId="2F688597" w14:textId="77777777" w:rsidR="008B2798" w:rsidRPr="00DD2490" w:rsidRDefault="008B2798" w:rsidP="008B2798">
            <w:pPr>
              <w:jc w:val="both"/>
              <w:rPr>
                <w:color w:val="0000FF"/>
              </w:rPr>
            </w:pPr>
            <w:r w:rsidRPr="00DD2490">
              <w:rPr>
                <w:b/>
                <w:bCs/>
                <w:color w:val="0000FF"/>
                <w:sz w:val="18"/>
                <w:szCs w:val="18"/>
                <w:lang w:val="en-US"/>
              </w:rPr>
              <w:t>A/HRC/3</w:t>
            </w:r>
            <w:r>
              <w:rPr>
                <w:b/>
                <w:bCs/>
                <w:color w:val="0000FF"/>
                <w:sz w:val="18"/>
                <w:szCs w:val="18"/>
                <w:lang w:val="en-US"/>
              </w:rPr>
              <w:t>1</w:t>
            </w:r>
            <w:r w:rsidRPr="00DD2490">
              <w:rPr>
                <w:b/>
                <w:bCs/>
                <w:color w:val="0000FF"/>
                <w:sz w:val="18"/>
                <w:szCs w:val="18"/>
                <w:lang w:val="en-US"/>
              </w:rPr>
              <w:t>/L.</w:t>
            </w:r>
            <w:r>
              <w:rPr>
                <w:b/>
                <w:bCs/>
                <w:color w:val="0000FF"/>
                <w:sz w:val="18"/>
                <w:szCs w:val="18"/>
                <w:lang w:val="en-US"/>
              </w:rPr>
              <w:t>39</w:t>
            </w:r>
          </w:p>
          <w:p w14:paraId="57D9C480" w14:textId="77777777" w:rsidR="008B2798" w:rsidRPr="00DD2490" w:rsidRDefault="008B2798" w:rsidP="008B2798">
            <w:pPr>
              <w:rPr>
                <w:b/>
                <w:bCs/>
                <w:color w:val="0000FF"/>
                <w:sz w:val="18"/>
                <w:szCs w:val="18"/>
                <w:lang w:val="en-US"/>
              </w:rPr>
            </w:pPr>
            <w:r w:rsidRPr="00DD2490">
              <w:rPr>
                <w:b/>
                <w:bCs/>
                <w:color w:val="0000FF"/>
                <w:sz w:val="18"/>
                <w:szCs w:val="18"/>
                <w:lang w:val="en-US"/>
              </w:rPr>
              <w:t xml:space="preserve">Received from </w:t>
            </w:r>
            <w:r w:rsidRPr="00DD2490">
              <w:rPr>
                <w:b/>
                <w:bCs/>
                <w:color w:val="0000FF"/>
                <w:sz w:val="18"/>
                <w:szCs w:val="18"/>
              </w:rPr>
              <w:t>(</w:t>
            </w:r>
            <w:r w:rsidRPr="00DD2490">
              <w:rPr>
                <w:b/>
                <w:bCs/>
                <w:color w:val="0000FF"/>
                <w:sz w:val="18"/>
                <w:szCs w:val="18"/>
                <w:lang w:val="en-US"/>
              </w:rPr>
              <w:t xml:space="preserve">main sponsors): </w:t>
            </w:r>
            <w:r>
              <w:rPr>
                <w:b/>
                <w:bCs/>
                <w:color w:val="0000FF"/>
                <w:sz w:val="18"/>
                <w:szCs w:val="18"/>
                <w:lang w:val="en-US"/>
              </w:rPr>
              <w:t>Pakistan (on behalf of the OIC)</w:t>
            </w:r>
          </w:p>
          <w:p w14:paraId="585449C0" w14:textId="77777777" w:rsidR="008B2798" w:rsidRPr="00DD2490" w:rsidRDefault="008B2798" w:rsidP="008B2798">
            <w:pPr>
              <w:rPr>
                <w:b/>
                <w:bCs/>
                <w:color w:val="0000FF"/>
                <w:sz w:val="18"/>
                <w:szCs w:val="18"/>
                <w:lang w:val="en-US"/>
              </w:rPr>
            </w:pPr>
            <w:r w:rsidRPr="00DD2490">
              <w:rPr>
                <w:b/>
                <w:bCs/>
                <w:color w:val="0000FF"/>
                <w:sz w:val="18"/>
                <w:szCs w:val="18"/>
                <w:lang w:val="en-US"/>
              </w:rPr>
              <w:t xml:space="preserve">Date and Time: </w:t>
            </w:r>
            <w:r>
              <w:rPr>
                <w:b/>
                <w:bCs/>
                <w:color w:val="0000FF"/>
                <w:sz w:val="18"/>
                <w:szCs w:val="18"/>
              </w:rPr>
              <w:t>18/03/2016</w:t>
            </w:r>
            <w:r w:rsidRPr="00DD2490">
              <w:rPr>
                <w:b/>
                <w:bCs/>
                <w:color w:val="0000FF"/>
                <w:sz w:val="18"/>
                <w:szCs w:val="18"/>
              </w:rPr>
              <w:t xml:space="preserve"> </w:t>
            </w:r>
            <w:r>
              <w:rPr>
                <w:b/>
                <w:bCs/>
                <w:color w:val="0000FF"/>
                <w:sz w:val="18"/>
                <w:szCs w:val="18"/>
              </w:rPr>
              <w:t xml:space="preserve"> 1240</w:t>
            </w:r>
          </w:p>
          <w:p w14:paraId="349E3021" w14:textId="77777777" w:rsidR="008B2798" w:rsidRPr="00DD2490" w:rsidRDefault="008B2798" w:rsidP="008B2798">
            <w:pPr>
              <w:tabs>
                <w:tab w:val="left" w:pos="1451"/>
              </w:tabs>
              <w:rPr>
                <w:color w:val="0000FF"/>
              </w:rPr>
            </w:pPr>
            <w:r w:rsidRPr="00DD2490">
              <w:rPr>
                <w:b/>
                <w:bCs/>
                <w:color w:val="0000FF"/>
                <w:sz w:val="18"/>
                <w:szCs w:val="18"/>
                <w:lang w:val="en-US"/>
              </w:rPr>
              <w:t xml:space="preserve">Initials: </w:t>
            </w:r>
            <w:r>
              <w:rPr>
                <w:b/>
                <w:bCs/>
                <w:color w:val="0000FF"/>
                <w:sz w:val="18"/>
                <w:szCs w:val="18"/>
                <w:lang w:val="en-US"/>
              </w:rPr>
              <w:t>EKT</w:t>
            </w:r>
            <w:r w:rsidRPr="00DD2490">
              <w:rPr>
                <w:b/>
                <w:bCs/>
                <w:color w:val="0000FF"/>
                <w:sz w:val="18"/>
                <w:szCs w:val="18"/>
                <w:lang w:val="en-US"/>
              </w:rPr>
              <w:tab/>
            </w:r>
          </w:p>
          <w:p w14:paraId="33A9329D" w14:textId="77777777" w:rsidR="008B2798" w:rsidRPr="00DD2490" w:rsidRDefault="008B2798" w:rsidP="008B2798">
            <w:pPr>
              <w:rPr>
                <w:b/>
                <w:bCs/>
                <w:color w:val="0000FF"/>
                <w:sz w:val="18"/>
                <w:szCs w:val="18"/>
                <w:lang w:val="en-US"/>
              </w:rPr>
            </w:pPr>
            <w:r w:rsidRPr="00DD2490">
              <w:rPr>
                <w:b/>
                <w:bCs/>
                <w:color w:val="0000FF"/>
                <w:sz w:val="18"/>
                <w:szCs w:val="18"/>
                <w:lang w:val="en-US"/>
              </w:rPr>
              <w:t xml:space="preserve">Page </w:t>
            </w:r>
            <w:r w:rsidRPr="00DD2490">
              <w:rPr>
                <w:b/>
                <w:bCs/>
                <w:color w:val="0000FF"/>
                <w:sz w:val="18"/>
                <w:szCs w:val="18"/>
                <w:lang w:val="en-US"/>
              </w:rPr>
              <w:fldChar w:fldCharType="begin"/>
            </w:r>
            <w:r w:rsidRPr="00DD2490">
              <w:rPr>
                <w:b/>
                <w:bCs/>
                <w:color w:val="0000FF"/>
                <w:sz w:val="18"/>
                <w:szCs w:val="18"/>
                <w:lang w:val="en-US"/>
              </w:rPr>
              <w:instrText xml:space="preserve"> PAGE  \* Arabic  \* MERGEFORMAT </w:instrText>
            </w:r>
            <w:r w:rsidRPr="00DD2490">
              <w:rPr>
                <w:b/>
                <w:bCs/>
                <w:color w:val="0000FF"/>
                <w:sz w:val="18"/>
                <w:szCs w:val="18"/>
                <w:lang w:val="en-US"/>
              </w:rPr>
              <w:fldChar w:fldCharType="separate"/>
            </w:r>
            <w:r w:rsidRPr="00DD2490">
              <w:rPr>
                <w:b/>
                <w:bCs/>
                <w:noProof/>
                <w:color w:val="0000FF"/>
                <w:sz w:val="18"/>
                <w:szCs w:val="18"/>
                <w:lang w:val="en-US"/>
              </w:rPr>
              <w:t>1</w:t>
            </w:r>
            <w:r w:rsidRPr="00DD2490">
              <w:rPr>
                <w:b/>
                <w:bCs/>
                <w:color w:val="0000FF"/>
                <w:sz w:val="18"/>
                <w:szCs w:val="18"/>
                <w:lang w:val="en-US"/>
              </w:rPr>
              <w:fldChar w:fldCharType="end"/>
            </w:r>
            <w:r w:rsidRPr="00DD2490">
              <w:rPr>
                <w:b/>
                <w:bCs/>
                <w:color w:val="0000FF"/>
                <w:sz w:val="18"/>
                <w:szCs w:val="18"/>
                <w:lang w:val="en-US"/>
              </w:rPr>
              <w:t xml:space="preserve"> of </w:t>
            </w:r>
            <w:r w:rsidRPr="00DD2490">
              <w:rPr>
                <w:b/>
                <w:bCs/>
                <w:color w:val="0000FF"/>
                <w:sz w:val="18"/>
                <w:szCs w:val="18"/>
                <w:lang w:val="en-US"/>
              </w:rPr>
              <w:fldChar w:fldCharType="begin"/>
            </w:r>
            <w:r w:rsidRPr="00DD2490">
              <w:rPr>
                <w:b/>
                <w:bCs/>
                <w:color w:val="0000FF"/>
                <w:sz w:val="18"/>
                <w:szCs w:val="18"/>
                <w:lang w:val="en-US"/>
              </w:rPr>
              <w:instrText xml:space="preserve"> NUMPAGES  \* Arabic  \* MERGEFORMAT </w:instrText>
            </w:r>
            <w:r w:rsidRPr="00DD2490">
              <w:rPr>
                <w:b/>
                <w:bCs/>
                <w:color w:val="0000FF"/>
                <w:sz w:val="18"/>
                <w:szCs w:val="18"/>
                <w:lang w:val="en-US"/>
              </w:rPr>
              <w:fldChar w:fldCharType="separate"/>
            </w:r>
            <w:r w:rsidRPr="00DD2490">
              <w:rPr>
                <w:b/>
                <w:bCs/>
                <w:noProof/>
                <w:color w:val="0000FF"/>
                <w:sz w:val="18"/>
                <w:szCs w:val="18"/>
                <w:lang w:val="en-US"/>
              </w:rPr>
              <w:t>4</w:t>
            </w:r>
            <w:r w:rsidRPr="00DD2490">
              <w:rPr>
                <w:b/>
                <w:bCs/>
                <w:color w:val="0000FF"/>
                <w:sz w:val="18"/>
                <w:szCs w:val="18"/>
                <w:lang w:val="en-US"/>
              </w:rPr>
              <w:fldChar w:fldCharType="end"/>
            </w:r>
          </w:p>
          <w:p w14:paraId="7D077597" w14:textId="77777777" w:rsidR="003107FA" w:rsidRPr="00B3317B" w:rsidRDefault="003107FA" w:rsidP="00EF5BDB">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223729C7" w14:textId="77777777" w:rsidR="001D18FE" w:rsidRDefault="001D18FE" w:rsidP="001D18FE">
            <w:pPr>
              <w:spacing w:before="240" w:line="240" w:lineRule="exact"/>
            </w:pPr>
            <w:r>
              <w:t>Distr.: Limited</w:t>
            </w:r>
          </w:p>
          <w:p w14:paraId="394A7DF3" w14:textId="77777777" w:rsidR="00681890" w:rsidRDefault="00061539" w:rsidP="00681890">
            <w:pPr>
              <w:spacing w:line="240" w:lineRule="exact"/>
            </w:pPr>
            <w:r>
              <w:t xml:space="preserve"> </w:t>
            </w:r>
            <w:r w:rsidR="00D56232">
              <w:t>March 201</w:t>
            </w:r>
            <w:r w:rsidR="00590E84">
              <w:t>6</w:t>
            </w:r>
          </w:p>
          <w:p w14:paraId="79CEB821" w14:textId="77777777" w:rsidR="001D18FE" w:rsidRDefault="001D18FE" w:rsidP="001D18FE">
            <w:pPr>
              <w:spacing w:line="240" w:lineRule="exact"/>
            </w:pPr>
          </w:p>
          <w:p w14:paraId="0A7AB690" w14:textId="77777777" w:rsidR="003107FA" w:rsidRDefault="001D18FE" w:rsidP="001D18FE">
            <w:pPr>
              <w:spacing w:line="240" w:lineRule="exact"/>
            </w:pPr>
            <w:r>
              <w:t>Original: English</w:t>
            </w:r>
          </w:p>
        </w:tc>
      </w:tr>
    </w:tbl>
    <w:p w14:paraId="2B04FADD" w14:textId="77777777" w:rsidR="00FE7BB7" w:rsidRDefault="00FE7BB7" w:rsidP="00FE7BB7">
      <w:pPr>
        <w:spacing w:before="120"/>
        <w:rPr>
          <w:b/>
        </w:rPr>
      </w:pPr>
      <w:r>
        <w:rPr>
          <w:b/>
        </w:rPr>
        <w:t>Human Rights Council</w:t>
      </w:r>
    </w:p>
    <w:p w14:paraId="7918CB52" w14:textId="77777777" w:rsidR="00FE7BB7" w:rsidRDefault="005077A1" w:rsidP="00FE7BB7">
      <w:pPr>
        <w:rPr>
          <w:b/>
        </w:rPr>
      </w:pPr>
      <w:r>
        <w:rPr>
          <w:b/>
        </w:rPr>
        <w:t>T</w:t>
      </w:r>
      <w:r w:rsidR="00590E84">
        <w:rPr>
          <w:b/>
        </w:rPr>
        <w:t>hirty-First</w:t>
      </w:r>
      <w:r w:rsidR="00E35D62">
        <w:rPr>
          <w:b/>
        </w:rPr>
        <w:t xml:space="preserve"> </w:t>
      </w:r>
      <w:r w:rsidR="00FE7BB7">
        <w:rPr>
          <w:b/>
        </w:rPr>
        <w:t>session</w:t>
      </w:r>
    </w:p>
    <w:p w14:paraId="473CFD3A" w14:textId="77777777" w:rsidR="00FE7BB7" w:rsidRDefault="00447FCF" w:rsidP="00FE7BB7">
      <w:r>
        <w:t xml:space="preserve">Agenda item </w:t>
      </w:r>
      <w:r w:rsidR="00347C66">
        <w:t>7</w:t>
      </w:r>
    </w:p>
    <w:p w14:paraId="09CB7E67" w14:textId="77777777" w:rsidR="00FE7BB7" w:rsidRPr="00533C25" w:rsidRDefault="00347C66" w:rsidP="00FE7BB7">
      <w:pPr>
        <w:rPr>
          <w:b/>
        </w:rPr>
      </w:pPr>
      <w:r>
        <w:rPr>
          <w:b/>
        </w:rPr>
        <w:t>Human rights situation in Palestine and</w:t>
      </w:r>
      <w:r w:rsidR="00F1089B">
        <w:rPr>
          <w:b/>
        </w:rPr>
        <w:t xml:space="preserve"> other</w:t>
      </w:r>
      <w:r>
        <w:rPr>
          <w:b/>
        </w:rPr>
        <w:br/>
        <w:t>occupied Arab territories</w:t>
      </w:r>
    </w:p>
    <w:p w14:paraId="5EBCF136" w14:textId="77777777" w:rsidR="00FE7BB7" w:rsidRDefault="00FE7BB7" w:rsidP="00FE7BB7">
      <w:pPr>
        <w:pStyle w:val="H23G"/>
      </w:pPr>
      <w:r>
        <w:tab/>
      </w:r>
      <w:r>
        <w:tab/>
      </w:r>
    </w:p>
    <w:p w14:paraId="117E7C83" w14:textId="77777777" w:rsidR="00FE7BB7" w:rsidRPr="007A45D3" w:rsidRDefault="00FE7BB7" w:rsidP="00FE7BB7">
      <w:pPr>
        <w:pStyle w:val="H1G"/>
      </w:pPr>
      <w:r>
        <w:tab/>
      </w:r>
      <w:r>
        <w:tab/>
      </w:r>
      <w:r w:rsidR="00D203D7">
        <w:t>31</w:t>
      </w:r>
      <w:r w:rsidR="00061539">
        <w:t>/…</w:t>
      </w:r>
      <w:r w:rsidR="00061539" w:rsidRPr="00061539">
        <w:t>Israeli settlements in the Occupied Palestinian Territory, including East Jerusalem, and in the occupied Syrian Golan</w:t>
      </w:r>
    </w:p>
    <w:p w14:paraId="3C7B638A" w14:textId="77777777" w:rsidR="00FE7BB7" w:rsidRPr="00114059" w:rsidRDefault="00FE7BB7" w:rsidP="00FE7BB7">
      <w:pPr>
        <w:pStyle w:val="SingleTxtG"/>
        <w:spacing w:after="240"/>
      </w:pPr>
      <w:r>
        <w:rPr>
          <w:i/>
          <w:iCs/>
        </w:rPr>
        <w:tab/>
      </w:r>
      <w:r w:rsidRPr="00114059">
        <w:rPr>
          <w:i/>
          <w:iCs/>
        </w:rPr>
        <w:t>The Human Rights Council</w:t>
      </w:r>
      <w:r w:rsidRPr="00114059">
        <w:t>,</w:t>
      </w:r>
    </w:p>
    <w:p w14:paraId="64A67694" w14:textId="77777777" w:rsidR="00061539" w:rsidRPr="00114059" w:rsidRDefault="00E767DA" w:rsidP="00061539">
      <w:pPr>
        <w:pStyle w:val="SingleTxtG"/>
        <w:ind w:firstLine="567"/>
      </w:pPr>
      <w:r w:rsidRPr="00114059">
        <w:rPr>
          <w:iCs/>
        </w:rPr>
        <w:t xml:space="preserve">PP1 </w:t>
      </w:r>
      <w:r w:rsidR="00061539" w:rsidRPr="00114059">
        <w:rPr>
          <w:i/>
          <w:iCs/>
        </w:rPr>
        <w:t xml:space="preserve">Guided </w:t>
      </w:r>
      <w:r w:rsidR="00061539" w:rsidRPr="00114059">
        <w:t>by the principles of the Charter of the United Nations, and affirming the</w:t>
      </w:r>
      <w:r w:rsidR="00061539" w:rsidRPr="00114059">
        <w:rPr>
          <w:i/>
        </w:rPr>
        <w:t xml:space="preserve"> </w:t>
      </w:r>
      <w:r w:rsidR="00061539" w:rsidRPr="00114059">
        <w:t>inadmissibility of the acquisition of territory by force,</w:t>
      </w:r>
    </w:p>
    <w:p w14:paraId="611FF69D" w14:textId="77777777" w:rsidR="00061539" w:rsidRPr="00114059" w:rsidRDefault="00E767DA" w:rsidP="00061539">
      <w:pPr>
        <w:pStyle w:val="SingleTxtG"/>
        <w:ind w:firstLine="567"/>
      </w:pPr>
      <w:r w:rsidRPr="00114059">
        <w:rPr>
          <w:iCs/>
        </w:rPr>
        <w:t xml:space="preserve">PP2 </w:t>
      </w:r>
      <w:r w:rsidR="00061539" w:rsidRPr="00114059">
        <w:rPr>
          <w:i/>
          <w:iCs/>
        </w:rPr>
        <w:t xml:space="preserve">Reaffirming </w:t>
      </w:r>
      <w:r w:rsidR="00061539" w:rsidRPr="00114059">
        <w:t>that all States have an obligation to promote and protect human rights and fundamental freedoms, as stated in the Charter and as elaborated in the Universal Declaration of Human Rights, the International Covenants on Human Rights and other applicable instruments,</w:t>
      </w:r>
    </w:p>
    <w:p w14:paraId="2244BFA0" w14:textId="77777777" w:rsidR="00061539" w:rsidRPr="00114059" w:rsidRDefault="00E767DA" w:rsidP="00061539">
      <w:pPr>
        <w:pStyle w:val="SingleTxtG"/>
        <w:ind w:firstLine="567"/>
      </w:pPr>
      <w:r w:rsidRPr="00114059">
        <w:rPr>
          <w:iCs/>
        </w:rPr>
        <w:t xml:space="preserve">PP3 </w:t>
      </w:r>
      <w:r w:rsidR="00061539" w:rsidRPr="00114059">
        <w:rPr>
          <w:i/>
          <w:iCs/>
        </w:rPr>
        <w:t xml:space="preserve">Recalling </w:t>
      </w:r>
      <w:r w:rsidR="00061539" w:rsidRPr="00114059">
        <w:rPr>
          <w:iCs/>
        </w:rPr>
        <w:t xml:space="preserve">the </w:t>
      </w:r>
      <w:r w:rsidR="00061539" w:rsidRPr="00114059">
        <w:t>relevant resolutions of the Commission on Human Rights, the Human Rights Council, the Security Council and the General Assembly reaffirming, inter alia, the illegality of the Israeli settlements in the occupied territories, including in East Jerusalem,</w:t>
      </w:r>
    </w:p>
    <w:p w14:paraId="427827C1" w14:textId="77777777" w:rsidR="00061539" w:rsidRPr="00114059" w:rsidRDefault="00E767DA" w:rsidP="00061539">
      <w:pPr>
        <w:pStyle w:val="SingleTxtG"/>
        <w:ind w:firstLine="567"/>
      </w:pPr>
      <w:r w:rsidRPr="00114059">
        <w:rPr>
          <w:iCs/>
        </w:rPr>
        <w:t xml:space="preserve">PP4 </w:t>
      </w:r>
      <w:r w:rsidR="00061539" w:rsidRPr="00114059">
        <w:rPr>
          <w:i/>
          <w:iCs/>
        </w:rPr>
        <w:t xml:space="preserve">Recalling also </w:t>
      </w:r>
      <w:r w:rsidR="00061539" w:rsidRPr="00114059">
        <w:rPr>
          <w:iCs/>
        </w:rPr>
        <w:t xml:space="preserve">Human Rights Council </w:t>
      </w:r>
      <w:r w:rsidR="00061539" w:rsidRPr="00114059">
        <w:t>resolution 19/17 of 22 March 2012, in which the Council decided to establish an independent international fact-finding mission to investigate the implications of the Israeli settlements on the human rights of the Palestinian people throughout the Occupied Palestinian Territory, including East Jerusalem,</w:t>
      </w:r>
    </w:p>
    <w:p w14:paraId="1699EDA9" w14:textId="77777777" w:rsidR="00061539" w:rsidRPr="00114059" w:rsidRDefault="00E767DA" w:rsidP="00061539">
      <w:pPr>
        <w:pStyle w:val="SingleTxtG"/>
        <w:ind w:firstLine="567"/>
      </w:pPr>
      <w:r w:rsidRPr="00114059">
        <w:rPr>
          <w:iCs/>
        </w:rPr>
        <w:t xml:space="preserve">PP5 </w:t>
      </w:r>
      <w:r w:rsidR="00061539" w:rsidRPr="00114059">
        <w:rPr>
          <w:i/>
          <w:iCs/>
        </w:rPr>
        <w:t>Reaffirming</w:t>
      </w:r>
      <w:r w:rsidR="00061539" w:rsidRPr="00114059">
        <w:rPr>
          <w:iCs/>
        </w:rPr>
        <w:t xml:space="preserve"> the applicability of the</w:t>
      </w:r>
      <w:r w:rsidR="00061539" w:rsidRPr="00114059">
        <w:t xml:space="preserve"> Geneva Convention relative to the Protection of Civilian Persons in Time of War, of 12 August 1949, to the Occupied Palestinian Territory, including East Jerusalem, and to the occupied Syrian Golan, and recalling the declarations adopted </w:t>
      </w:r>
      <w:r w:rsidR="002642E2" w:rsidRPr="00114059">
        <w:t xml:space="preserve">at </w:t>
      </w:r>
      <w:r w:rsidR="00061539" w:rsidRPr="00114059">
        <w:t>the Conferences of High Contracting Parties to the Fourth Geneva Convention, held in Geneva on 5 December 2001 and 17 December 2014,</w:t>
      </w:r>
    </w:p>
    <w:p w14:paraId="2A3F1801" w14:textId="77777777" w:rsidR="00061539" w:rsidRPr="00114059" w:rsidRDefault="00E767DA" w:rsidP="004573A8">
      <w:pPr>
        <w:pStyle w:val="SingleTxtG"/>
        <w:ind w:firstLine="567"/>
        <w:rPr>
          <w:iCs/>
        </w:rPr>
      </w:pPr>
      <w:r w:rsidRPr="00114059">
        <w:rPr>
          <w:iCs/>
        </w:rPr>
        <w:lastRenderedPageBreak/>
        <w:t xml:space="preserve">PP6 </w:t>
      </w:r>
      <w:r w:rsidR="00061539" w:rsidRPr="00114059">
        <w:rPr>
          <w:i/>
          <w:iCs/>
        </w:rPr>
        <w:t>Noting</w:t>
      </w:r>
      <w:r w:rsidR="00061539" w:rsidRPr="00114059">
        <w:rPr>
          <w:iCs/>
        </w:rPr>
        <w:t xml:space="preserve"> the recent accession by Palestine to several human rights treaties and the core humanitarian law conventions, and its accession on 2 January 2015 to the Rome Statute of the International Criminal Court,</w:t>
      </w:r>
    </w:p>
    <w:p w14:paraId="5188AD43" w14:textId="77777777" w:rsidR="00061539" w:rsidRPr="00114059" w:rsidRDefault="00E767DA" w:rsidP="004573A8">
      <w:pPr>
        <w:pStyle w:val="SingleTxtG"/>
        <w:ind w:firstLine="567"/>
      </w:pPr>
      <w:r w:rsidRPr="00114059">
        <w:rPr>
          <w:iCs/>
        </w:rPr>
        <w:t xml:space="preserve">PP7 </w:t>
      </w:r>
      <w:r w:rsidR="00061539" w:rsidRPr="00114059">
        <w:rPr>
          <w:i/>
          <w:iCs/>
        </w:rPr>
        <w:t xml:space="preserve">Affirming </w:t>
      </w:r>
      <w:r w:rsidR="00061539" w:rsidRPr="00114059">
        <w:t>that the transfer by the occupying Power of parts of its own civilian population into the territory it occupies constitutes a breach of the Fourth Geneva Convention and relevant provisions of customary law, including those codified in Additional Protocol I to the four Geneva Conventions,</w:t>
      </w:r>
    </w:p>
    <w:p w14:paraId="036BC773" w14:textId="77777777" w:rsidR="00061539" w:rsidRPr="00114059" w:rsidRDefault="00E767DA" w:rsidP="004573A8">
      <w:pPr>
        <w:pStyle w:val="SingleTxtG"/>
        <w:ind w:firstLine="567"/>
      </w:pPr>
      <w:r w:rsidRPr="00114059">
        <w:rPr>
          <w:iCs/>
        </w:rPr>
        <w:t xml:space="preserve">PP8 </w:t>
      </w:r>
      <w:r w:rsidR="00061539" w:rsidRPr="00114059">
        <w:rPr>
          <w:i/>
          <w:iCs/>
        </w:rPr>
        <w:t xml:space="preserve">Recalling </w:t>
      </w:r>
      <w:r w:rsidR="00061539" w:rsidRPr="00114059">
        <w:t xml:space="preserve">the advisory opinion rendered on 9 July 2004 by the International Court of Justice on the </w:t>
      </w:r>
      <w:r w:rsidR="00F45940" w:rsidRPr="00114059">
        <w:rPr>
          <w:iCs/>
        </w:rPr>
        <w:t>l</w:t>
      </w:r>
      <w:r w:rsidR="00061539" w:rsidRPr="00114059">
        <w:rPr>
          <w:iCs/>
        </w:rPr>
        <w:t xml:space="preserve">egal </w:t>
      </w:r>
      <w:r w:rsidR="00F45940" w:rsidRPr="00114059">
        <w:rPr>
          <w:iCs/>
        </w:rPr>
        <w:t>c</w:t>
      </w:r>
      <w:r w:rsidR="00061539" w:rsidRPr="00114059">
        <w:rPr>
          <w:iCs/>
        </w:rPr>
        <w:t xml:space="preserve">onsequences of the </w:t>
      </w:r>
      <w:r w:rsidR="00F45940" w:rsidRPr="00114059">
        <w:rPr>
          <w:iCs/>
        </w:rPr>
        <w:t>c</w:t>
      </w:r>
      <w:r w:rsidR="00061539" w:rsidRPr="00114059">
        <w:rPr>
          <w:iCs/>
        </w:rPr>
        <w:t xml:space="preserve">onstruction of a </w:t>
      </w:r>
      <w:r w:rsidR="00F45940" w:rsidRPr="00114059">
        <w:rPr>
          <w:iCs/>
        </w:rPr>
        <w:t>w</w:t>
      </w:r>
      <w:r w:rsidR="00061539" w:rsidRPr="00114059">
        <w:rPr>
          <w:iCs/>
        </w:rPr>
        <w:t>all in the Occupied Palestinian Territory</w:t>
      </w:r>
      <w:r w:rsidR="00061539" w:rsidRPr="00114059">
        <w:t xml:space="preserve">, and </w:t>
      </w:r>
      <w:r w:rsidR="00061539" w:rsidRPr="00114059">
        <w:rPr>
          <w:iCs/>
        </w:rPr>
        <w:t>recalling also</w:t>
      </w:r>
      <w:r w:rsidR="00061539" w:rsidRPr="00114059">
        <w:rPr>
          <w:i/>
          <w:iCs/>
        </w:rPr>
        <w:t xml:space="preserve"> </w:t>
      </w:r>
      <w:r w:rsidR="00061539" w:rsidRPr="00114059">
        <w:t>General Assembly resolutions ES-10/15 of 20 July 2004 and ES-10/17 of 15 December 2006,</w:t>
      </w:r>
    </w:p>
    <w:p w14:paraId="58CF2DAA" w14:textId="77777777" w:rsidR="00061539" w:rsidRPr="00114059" w:rsidRDefault="00E767DA" w:rsidP="004573A8">
      <w:pPr>
        <w:pStyle w:val="SingleTxtG"/>
        <w:ind w:firstLine="567"/>
        <w:rPr>
          <w:iCs/>
        </w:rPr>
      </w:pPr>
      <w:r w:rsidRPr="00114059">
        <w:rPr>
          <w:iCs/>
        </w:rPr>
        <w:t xml:space="preserve">PP9 </w:t>
      </w:r>
      <w:r w:rsidR="00061539" w:rsidRPr="00114059">
        <w:rPr>
          <w:i/>
          <w:iCs/>
        </w:rPr>
        <w:t>Noting</w:t>
      </w:r>
      <w:r w:rsidR="00061539" w:rsidRPr="00114059">
        <w:rPr>
          <w:iCs/>
        </w:rPr>
        <w:t xml:space="preserve"> that the International Court of Justice concluded that the Israeli settlements in the Occupied Palestinian Territory, including East Jerusalem, had been established in breach of international law,</w:t>
      </w:r>
    </w:p>
    <w:p w14:paraId="1F17B704" w14:textId="77777777" w:rsidR="00061539" w:rsidRPr="00114059" w:rsidRDefault="00E767DA" w:rsidP="004573A8">
      <w:pPr>
        <w:pStyle w:val="SingleTxtG"/>
        <w:ind w:firstLine="567"/>
        <w:rPr>
          <w:iCs/>
        </w:rPr>
      </w:pPr>
      <w:r w:rsidRPr="00114059">
        <w:rPr>
          <w:iCs/>
        </w:rPr>
        <w:t xml:space="preserve">PP10 </w:t>
      </w:r>
      <w:r w:rsidR="00061539" w:rsidRPr="00114059">
        <w:rPr>
          <w:i/>
          <w:iCs/>
        </w:rPr>
        <w:t>Taking note</w:t>
      </w:r>
      <w:r w:rsidR="00061539" w:rsidRPr="00114059">
        <w:rPr>
          <w:iCs/>
        </w:rPr>
        <w:t xml:space="preserve"> of the recent relevant reports of the Secretary-General, the Office of the United Nations High Commissioner for Human Rights, the Special Committee to Investigate Israeli Practices Affecting the Human Rights of the Palestinian People and Other Arabs of the Occupied Territories and the treaty bodies monitoring compliance with the human rights treaties to which Israel is a party, as well as the recent reports of the Special Rapporteur on the situation of human rights in the Palestinian territories occupied since 1967,</w:t>
      </w:r>
    </w:p>
    <w:p w14:paraId="6BD4C946" w14:textId="77777777" w:rsidR="00061539" w:rsidRPr="00114059" w:rsidRDefault="00E767DA" w:rsidP="00061539">
      <w:pPr>
        <w:pStyle w:val="SingleTxtG"/>
        <w:ind w:firstLine="567"/>
        <w:rPr>
          <w:iCs/>
        </w:rPr>
      </w:pPr>
      <w:r w:rsidRPr="00114059">
        <w:rPr>
          <w:iCs/>
        </w:rPr>
        <w:t xml:space="preserve">PP11 </w:t>
      </w:r>
      <w:r w:rsidR="00061539" w:rsidRPr="00114059">
        <w:rPr>
          <w:i/>
          <w:iCs/>
        </w:rPr>
        <w:t>Recalling</w:t>
      </w:r>
      <w:r w:rsidR="00061539" w:rsidRPr="00114059">
        <w:rPr>
          <w:iCs/>
        </w:rPr>
        <w:t xml:space="preserve"> the report of the independent international fact-finding mission to investigate the implications of the Israeli settlements on the civil, political, economic, social and cultural rights of the Palestinian people throughout the Occupied Palestinian Territory, including East Jerusalem,</w:t>
      </w:r>
      <w:r w:rsidR="00F45940" w:rsidRPr="00114059">
        <w:rPr>
          <w:rStyle w:val="FootnoteReference"/>
          <w:iCs/>
        </w:rPr>
        <w:footnoteReference w:id="2"/>
      </w:r>
    </w:p>
    <w:p w14:paraId="5D3A84CE" w14:textId="77777777" w:rsidR="00061539" w:rsidRPr="00114059" w:rsidRDefault="00E767DA" w:rsidP="00061539">
      <w:pPr>
        <w:pStyle w:val="SingleTxtG"/>
        <w:ind w:firstLine="567"/>
        <w:rPr>
          <w:iCs/>
        </w:rPr>
      </w:pPr>
      <w:r w:rsidRPr="00114059">
        <w:rPr>
          <w:iCs/>
        </w:rPr>
        <w:t xml:space="preserve">PP12 </w:t>
      </w:r>
      <w:r w:rsidR="00061539" w:rsidRPr="00114059">
        <w:rPr>
          <w:i/>
          <w:iCs/>
        </w:rPr>
        <w:t>Noting</w:t>
      </w:r>
      <w:r w:rsidR="00061539" w:rsidRPr="00114059">
        <w:rPr>
          <w:iCs/>
        </w:rPr>
        <w:t xml:space="preserve"> that Israel has over the years been planning, implementing, supporting and encouraging the establishment and expansion of settlements in the Occupied Palestinian Territory, including East Jerusalem, </w:t>
      </w:r>
      <w:r w:rsidR="00BC4AD9" w:rsidRPr="00114059">
        <w:rPr>
          <w:iCs/>
        </w:rPr>
        <w:t xml:space="preserve">through, </w:t>
      </w:r>
      <w:r w:rsidR="00061539" w:rsidRPr="00114059">
        <w:rPr>
          <w:iCs/>
        </w:rPr>
        <w:t>inter alia</w:t>
      </w:r>
      <w:r w:rsidR="00BC4AD9" w:rsidRPr="00114059">
        <w:rPr>
          <w:iCs/>
        </w:rPr>
        <w:t>,</w:t>
      </w:r>
      <w:r w:rsidR="00061539" w:rsidRPr="00114059">
        <w:rPr>
          <w:iCs/>
        </w:rPr>
        <w:t xml:space="preserve"> the granting of benefits and incentives to settlements and settlers,</w:t>
      </w:r>
    </w:p>
    <w:p w14:paraId="2905AEC6" w14:textId="77777777" w:rsidR="00061539" w:rsidRPr="00114059" w:rsidRDefault="00E767DA" w:rsidP="00061539">
      <w:pPr>
        <w:pStyle w:val="SingleTxtG"/>
        <w:ind w:firstLine="567"/>
      </w:pPr>
      <w:r w:rsidRPr="00114059">
        <w:rPr>
          <w:iCs/>
        </w:rPr>
        <w:t xml:space="preserve">PP13 </w:t>
      </w:r>
      <w:r w:rsidR="00061539" w:rsidRPr="00114059">
        <w:rPr>
          <w:i/>
          <w:iCs/>
        </w:rPr>
        <w:t xml:space="preserve">Recalling </w:t>
      </w:r>
      <w:r w:rsidR="00061539" w:rsidRPr="00114059">
        <w:t>the Quartet road map to a permanent two-State solution to the Israeli-Palestinian conflict, and emphasizing specifically its call for a freeze on all settlement activity, including so-called natural growth, and the dismantlement of all settlement outposts erected since March 2001, and the need for Israel to uphold its obligations and commitments in this regard,</w:t>
      </w:r>
    </w:p>
    <w:p w14:paraId="5A0EB6E6" w14:textId="77777777" w:rsidR="00061539" w:rsidRPr="00114059" w:rsidRDefault="00E767DA" w:rsidP="00061539">
      <w:pPr>
        <w:pStyle w:val="SingleTxtG"/>
        <w:ind w:firstLine="567"/>
        <w:rPr>
          <w:iCs/>
        </w:rPr>
      </w:pPr>
      <w:r w:rsidRPr="00114059">
        <w:rPr>
          <w:iCs/>
        </w:rPr>
        <w:lastRenderedPageBreak/>
        <w:t xml:space="preserve">PP14 </w:t>
      </w:r>
      <w:r w:rsidR="00061539" w:rsidRPr="00114059">
        <w:rPr>
          <w:i/>
          <w:iCs/>
        </w:rPr>
        <w:t>Taking note</w:t>
      </w:r>
      <w:r w:rsidR="00061539" w:rsidRPr="00114059">
        <w:rPr>
          <w:iCs/>
        </w:rPr>
        <w:t xml:space="preserve"> of General Assembly resolution 67/19 of 29 November 2012, by which, inter alia, Palestine was accorded the status of non-member observer State in the United Nations, and taking note of the follow-up report thereon of the Secretary-General,</w:t>
      </w:r>
    </w:p>
    <w:p w14:paraId="018B6EA6" w14:textId="77777777" w:rsidR="00061539" w:rsidRPr="00114059" w:rsidRDefault="00E767DA" w:rsidP="00061539">
      <w:pPr>
        <w:pStyle w:val="SingleTxtG"/>
        <w:ind w:firstLine="567"/>
        <w:rPr>
          <w:iCs/>
        </w:rPr>
      </w:pPr>
      <w:r w:rsidRPr="00114059">
        <w:rPr>
          <w:iCs/>
        </w:rPr>
        <w:t xml:space="preserve">PP15 </w:t>
      </w:r>
      <w:r w:rsidR="00061539" w:rsidRPr="00114059">
        <w:rPr>
          <w:i/>
          <w:iCs/>
        </w:rPr>
        <w:t xml:space="preserve">Aware </w:t>
      </w:r>
      <w:r w:rsidR="00061539" w:rsidRPr="00114059">
        <w:rPr>
          <w:iCs/>
        </w:rPr>
        <w:t xml:space="preserve">that Israeli settlement activities involve, inter alia, the transfer of nationals of the occupying Power into the occupied territories, the confiscation of land, the forcible displacement of Palestinian civilians, including Bedouin families, the exploitation of natural resources, the conduct of economic activity for the benefit of the </w:t>
      </w:r>
      <w:r w:rsidR="00BC4AD9" w:rsidRPr="00114059">
        <w:rPr>
          <w:iCs/>
        </w:rPr>
        <w:t>o</w:t>
      </w:r>
      <w:r w:rsidR="00061539" w:rsidRPr="00114059">
        <w:rPr>
          <w:iCs/>
        </w:rPr>
        <w:t>ccupying Power, the disruption of the livelihood of protected persons, the de facto annexation of land and other actions against the Palestinian civilian population and the civilian population in the occupied Syrian Golan that are contrary to international law,</w:t>
      </w:r>
    </w:p>
    <w:p w14:paraId="5D2088A8" w14:textId="77777777" w:rsidR="00061539" w:rsidRPr="00114059" w:rsidRDefault="00E767DA" w:rsidP="00061539">
      <w:pPr>
        <w:pStyle w:val="SingleTxtG"/>
        <w:ind w:firstLine="567"/>
      </w:pPr>
      <w:r w:rsidRPr="00114059">
        <w:rPr>
          <w:iCs/>
        </w:rPr>
        <w:t xml:space="preserve">PP16 </w:t>
      </w:r>
      <w:r w:rsidR="00061539" w:rsidRPr="00114059">
        <w:rPr>
          <w:i/>
          <w:iCs/>
        </w:rPr>
        <w:t xml:space="preserve">Affirming </w:t>
      </w:r>
      <w:r w:rsidR="00061539" w:rsidRPr="00114059">
        <w:t>that the Israeli settlement activities in the Occupied Palestinian Territory, including East Jerusalem, undermine regional and international efforts aimed at the realization of the two-State solution of Israel and Palestine, living side by side in peace and security within recognized borders, on the basis of the pre-1967 borders,</w:t>
      </w:r>
      <w:r w:rsidR="003B7384" w:rsidRPr="00114059">
        <w:t xml:space="preserve"> and </w:t>
      </w:r>
      <w:r w:rsidR="00510DC7" w:rsidRPr="00114059">
        <w:t xml:space="preserve">stressing that the continuation of these policies seriously endangers the viability of the two-State solution, </w:t>
      </w:r>
      <w:r w:rsidR="009C4B82" w:rsidRPr="00114059">
        <w:t xml:space="preserve">undermining </w:t>
      </w:r>
      <w:r w:rsidR="00510DC7" w:rsidRPr="00114059">
        <w:t>the physical possibility for its realisation</w:t>
      </w:r>
      <w:r w:rsidR="003B7384" w:rsidRPr="00114059">
        <w:t xml:space="preserve">, </w:t>
      </w:r>
    </w:p>
    <w:p w14:paraId="44277145" w14:textId="77777777" w:rsidR="00061539" w:rsidRPr="00114059" w:rsidRDefault="00E767DA" w:rsidP="00061539">
      <w:pPr>
        <w:pStyle w:val="SingleTxtG"/>
        <w:ind w:firstLine="567"/>
        <w:rPr>
          <w:iCs/>
        </w:rPr>
      </w:pPr>
      <w:r w:rsidRPr="00114059">
        <w:rPr>
          <w:iCs/>
        </w:rPr>
        <w:t xml:space="preserve">PP17 </w:t>
      </w:r>
      <w:r w:rsidR="00061539" w:rsidRPr="00114059">
        <w:rPr>
          <w:i/>
          <w:iCs/>
        </w:rPr>
        <w:t xml:space="preserve">Noting in this regard </w:t>
      </w:r>
      <w:r w:rsidR="00061539" w:rsidRPr="00114059">
        <w:rPr>
          <w:iCs/>
        </w:rPr>
        <w:t>that the Israeli settlements fragment the West Bank, including East Jerusalem, into isolated geographical units, severely limiting the possibility of a contiguous territory and the ability to dispose freely of natural resources, both of which are required for the meaningful exercise of Palestinian self-determination,</w:t>
      </w:r>
      <w:r w:rsidR="0032351E" w:rsidRPr="00114059">
        <w:rPr>
          <w:iCs/>
        </w:rPr>
        <w:t xml:space="preserve"> </w:t>
      </w:r>
    </w:p>
    <w:p w14:paraId="38313A03" w14:textId="77777777" w:rsidR="00061539" w:rsidRPr="00114059" w:rsidRDefault="00E767DA" w:rsidP="003B7384">
      <w:pPr>
        <w:pStyle w:val="SingleTxtG"/>
        <w:ind w:firstLine="567"/>
        <w:rPr>
          <w:iCs/>
        </w:rPr>
      </w:pPr>
      <w:r w:rsidRPr="00114059">
        <w:rPr>
          <w:iCs/>
        </w:rPr>
        <w:t xml:space="preserve">PP18 </w:t>
      </w:r>
      <w:r w:rsidR="00061539" w:rsidRPr="00114059">
        <w:rPr>
          <w:i/>
          <w:iCs/>
        </w:rPr>
        <w:t xml:space="preserve">Noting </w:t>
      </w:r>
      <w:r w:rsidR="00061539" w:rsidRPr="00114059">
        <w:rPr>
          <w:iCs/>
        </w:rPr>
        <w:t xml:space="preserve">that the settlement enterprise </w:t>
      </w:r>
      <w:r w:rsidR="003B7384" w:rsidRPr="00114059">
        <w:rPr>
          <w:iCs/>
        </w:rPr>
        <w:t>and the impunity ass</w:t>
      </w:r>
      <w:r w:rsidR="00DD2F0B" w:rsidRPr="00114059">
        <w:rPr>
          <w:iCs/>
        </w:rPr>
        <w:t>ociated with its persistence,</w:t>
      </w:r>
      <w:r w:rsidR="003B7384" w:rsidRPr="00114059">
        <w:rPr>
          <w:iCs/>
        </w:rPr>
        <w:t xml:space="preserve"> expansion</w:t>
      </w:r>
      <w:r w:rsidR="00DD2F0B" w:rsidRPr="00114059">
        <w:rPr>
          <w:iCs/>
        </w:rPr>
        <w:t xml:space="preserve"> and related violence</w:t>
      </w:r>
      <w:r w:rsidR="003B7384" w:rsidRPr="00114059">
        <w:rPr>
          <w:iCs/>
        </w:rPr>
        <w:t xml:space="preserve"> </w:t>
      </w:r>
      <w:r w:rsidR="00061539" w:rsidRPr="00114059">
        <w:rPr>
          <w:iCs/>
        </w:rPr>
        <w:t xml:space="preserve">continue to be a root cause of many violations of </w:t>
      </w:r>
      <w:r w:rsidR="00E641D5" w:rsidRPr="00114059">
        <w:rPr>
          <w:iCs/>
        </w:rPr>
        <w:t xml:space="preserve">the </w:t>
      </w:r>
      <w:r w:rsidR="00061539" w:rsidRPr="00114059">
        <w:rPr>
          <w:iCs/>
        </w:rPr>
        <w:t>Palestinians’ human rights,</w:t>
      </w:r>
      <w:r w:rsidR="003B7384" w:rsidRPr="00114059">
        <w:rPr>
          <w:iCs/>
        </w:rPr>
        <w:t xml:space="preserve"> and </w:t>
      </w:r>
      <w:r w:rsidR="0015573C" w:rsidRPr="00114059">
        <w:rPr>
          <w:iCs/>
        </w:rPr>
        <w:t>constitute</w:t>
      </w:r>
      <w:r w:rsidR="00510DC7" w:rsidRPr="00114059">
        <w:rPr>
          <w:iCs/>
        </w:rPr>
        <w:t xml:space="preserve"> the main </w:t>
      </w:r>
      <w:r w:rsidR="0015573C" w:rsidRPr="00114059">
        <w:rPr>
          <w:iCs/>
        </w:rPr>
        <w:t>factors</w:t>
      </w:r>
      <w:r w:rsidR="00510DC7" w:rsidRPr="00114059">
        <w:rPr>
          <w:iCs/>
        </w:rPr>
        <w:t xml:space="preserve"> perpetuating</w:t>
      </w:r>
      <w:r w:rsidR="003B7384" w:rsidRPr="00114059">
        <w:rPr>
          <w:iCs/>
        </w:rPr>
        <w:t xml:space="preserve"> Israel’s belligerent occupation of the Palestinian Territory, including East Jerusalem,</w:t>
      </w:r>
      <w:r w:rsidR="00510DC7" w:rsidRPr="00114059">
        <w:rPr>
          <w:iCs/>
        </w:rPr>
        <w:t xml:space="preserve"> since 1967,</w:t>
      </w:r>
    </w:p>
    <w:p w14:paraId="538B45AD" w14:textId="77777777" w:rsidR="00061539" w:rsidRPr="00114059" w:rsidRDefault="00E767DA" w:rsidP="00061539">
      <w:pPr>
        <w:pStyle w:val="SingleTxtG"/>
        <w:ind w:firstLine="567"/>
      </w:pPr>
      <w:r w:rsidRPr="00114059">
        <w:rPr>
          <w:iCs/>
        </w:rPr>
        <w:t xml:space="preserve">PP19 </w:t>
      </w:r>
      <w:r w:rsidR="00061539" w:rsidRPr="00114059">
        <w:rPr>
          <w:i/>
          <w:iCs/>
        </w:rPr>
        <w:t xml:space="preserve">Condemning </w:t>
      </w:r>
      <w:r w:rsidR="00061539" w:rsidRPr="00114059">
        <w:t>the continuation by Israel, the occupying Power, of settlement activities in the Occupied Palestinian Territory, including in East Jerusalem, in violation of international humanitarian law, relevant United Nations resolutions, the agreements reached between the parties and obligations under the Quartet road map, and in defiance of the calls by the international community to cease all settlement activities,</w:t>
      </w:r>
    </w:p>
    <w:p w14:paraId="20FCEDB8" w14:textId="77777777" w:rsidR="00061539" w:rsidRPr="00114059" w:rsidRDefault="00E767DA" w:rsidP="00061539">
      <w:pPr>
        <w:pStyle w:val="SingleTxtG"/>
        <w:ind w:firstLine="567"/>
        <w:rPr>
          <w:iCs/>
        </w:rPr>
      </w:pPr>
      <w:r w:rsidRPr="00114059">
        <w:rPr>
          <w:iCs/>
        </w:rPr>
        <w:t xml:space="preserve">PP20 </w:t>
      </w:r>
      <w:r w:rsidR="00061539" w:rsidRPr="00114059">
        <w:rPr>
          <w:i/>
          <w:iCs/>
        </w:rPr>
        <w:t>Expressing grave concern</w:t>
      </w:r>
      <w:r w:rsidR="00061539" w:rsidRPr="00114059">
        <w:rPr>
          <w:iCs/>
        </w:rPr>
        <w:t xml:space="preserve"> </w:t>
      </w:r>
      <w:r w:rsidR="00061539" w:rsidRPr="00114059">
        <w:rPr>
          <w:i/>
          <w:iCs/>
        </w:rPr>
        <w:t>in particular</w:t>
      </w:r>
      <w:r w:rsidR="00061539" w:rsidRPr="00114059">
        <w:rPr>
          <w:iCs/>
        </w:rPr>
        <w:t xml:space="preserve"> at the construction and expansion by Israel of settlements in and around occupied East Jerusalem, including its so-called E-1 plan, which aims to connect its illegal settlements around and further isolate occupied East Jerusalem, the continuing demolition of Palestinian homes and eviction of Palestinian families from the city, the revocation of Palestinian residency rights in the city, and ongoing settlement activities in the Jordan Valley,</w:t>
      </w:r>
    </w:p>
    <w:p w14:paraId="22386697" w14:textId="77777777" w:rsidR="00061539" w:rsidRPr="00114059" w:rsidRDefault="00E767DA" w:rsidP="00061539">
      <w:pPr>
        <w:pStyle w:val="SingleTxtG"/>
        <w:ind w:firstLine="567"/>
      </w:pPr>
      <w:r w:rsidRPr="00114059">
        <w:rPr>
          <w:iCs/>
        </w:rPr>
        <w:t xml:space="preserve">PP21 </w:t>
      </w:r>
      <w:r w:rsidR="00061539" w:rsidRPr="00114059">
        <w:rPr>
          <w:i/>
          <w:iCs/>
        </w:rPr>
        <w:t xml:space="preserve">Expressing grave concern </w:t>
      </w:r>
      <w:r w:rsidR="00061539" w:rsidRPr="00114059">
        <w:t>at the continuing construction by Israel of the wall inside the Occupied Palestinian Territory, including in and around East Jerusalem, in violation of international law,</w:t>
      </w:r>
      <w:r w:rsidR="00061539" w:rsidRPr="00114059">
        <w:rPr>
          <w:iCs/>
        </w:rPr>
        <w:t xml:space="preserve"> </w:t>
      </w:r>
      <w:r w:rsidR="00061539" w:rsidRPr="00114059">
        <w:t>and expressing its concern in particular at the route of the wall in departure from the Armistice Line of 1949, which is causing humanitarian hardship and a serious decline in socioeconomic conditions for the Palestinian people, is fragmenting the territorial contiguity of the Territory and undermining its viability, and could prejudge future negotiations by creating a fait accompli on the ground that could be tantamou</w:t>
      </w:r>
      <w:r w:rsidR="00F45940" w:rsidRPr="00114059">
        <w:t>n</w:t>
      </w:r>
      <w:r w:rsidR="00061539" w:rsidRPr="00114059">
        <w:t>t to de facto annexation in departure from the Armistice Line of 1949, and make the two-State solution physically impossible to implement,</w:t>
      </w:r>
    </w:p>
    <w:p w14:paraId="68C471EA" w14:textId="77777777" w:rsidR="00061539" w:rsidRPr="00114059" w:rsidRDefault="00E767DA" w:rsidP="00061539">
      <w:pPr>
        <w:pStyle w:val="SingleTxtG"/>
        <w:ind w:firstLine="567"/>
      </w:pPr>
      <w:r w:rsidRPr="00114059">
        <w:rPr>
          <w:iCs/>
        </w:rPr>
        <w:t xml:space="preserve">PP22 </w:t>
      </w:r>
      <w:r w:rsidR="00061539" w:rsidRPr="00114059">
        <w:rPr>
          <w:i/>
          <w:iCs/>
        </w:rPr>
        <w:t xml:space="preserve">Deeply concerned </w:t>
      </w:r>
      <w:r w:rsidR="00061539" w:rsidRPr="00114059">
        <w:t>that the wall’s route has been traced in such a way as to include the great majority of the Israeli settlements in the Occupied Palestinian Territory, including East Jerusalem,</w:t>
      </w:r>
    </w:p>
    <w:p w14:paraId="53530DA6" w14:textId="77777777" w:rsidR="00061539" w:rsidRPr="00114059" w:rsidRDefault="00E767DA" w:rsidP="00061539">
      <w:pPr>
        <w:pStyle w:val="SingleTxtG"/>
        <w:ind w:firstLine="567"/>
        <w:rPr>
          <w:iCs/>
        </w:rPr>
      </w:pPr>
      <w:r w:rsidRPr="00114059">
        <w:rPr>
          <w:iCs/>
        </w:rPr>
        <w:t xml:space="preserve">PP23 </w:t>
      </w:r>
      <w:r w:rsidR="00061539" w:rsidRPr="00114059">
        <w:rPr>
          <w:i/>
          <w:iCs/>
        </w:rPr>
        <w:t>Gravely concerned</w:t>
      </w:r>
      <w:r w:rsidR="00061539" w:rsidRPr="00114059">
        <w:rPr>
          <w:iCs/>
        </w:rPr>
        <w:t xml:space="preserve"> </w:t>
      </w:r>
      <w:r w:rsidR="004566BF" w:rsidRPr="00114059">
        <w:rPr>
          <w:iCs/>
        </w:rPr>
        <w:t xml:space="preserve">at </w:t>
      </w:r>
      <w:r w:rsidR="008D2871" w:rsidRPr="00114059">
        <w:rPr>
          <w:iCs/>
        </w:rPr>
        <w:t>all acts</w:t>
      </w:r>
      <w:r w:rsidR="00061539" w:rsidRPr="00114059">
        <w:rPr>
          <w:iCs/>
        </w:rPr>
        <w:t xml:space="preserve"> of violence, destruction, harassment, provocation and incitement by extremist Israeli settlers </w:t>
      </w:r>
      <w:r w:rsidR="008D2871" w:rsidRPr="00114059">
        <w:rPr>
          <w:iCs/>
        </w:rPr>
        <w:t>and groups of armed settlers</w:t>
      </w:r>
      <w:r w:rsidR="001B749E" w:rsidRPr="00114059">
        <w:rPr>
          <w:iCs/>
        </w:rPr>
        <w:t xml:space="preserve"> </w:t>
      </w:r>
      <w:r w:rsidR="00061539" w:rsidRPr="00114059">
        <w:rPr>
          <w:iCs/>
        </w:rPr>
        <w:t>in the Occupied Palestinian Territory, including East Jerusalem, against Palestinian civilians</w:t>
      </w:r>
      <w:r w:rsidR="008D2871" w:rsidRPr="00114059">
        <w:rPr>
          <w:iCs/>
        </w:rPr>
        <w:t>, including children,</w:t>
      </w:r>
      <w:r w:rsidR="00061539" w:rsidRPr="00114059">
        <w:rPr>
          <w:iCs/>
        </w:rPr>
        <w:t xml:space="preserve"> and their properties,</w:t>
      </w:r>
      <w:r w:rsidR="00510DC7" w:rsidRPr="00114059">
        <w:rPr>
          <w:iCs/>
        </w:rPr>
        <w:t xml:space="preserve"> including homes, agricult</w:t>
      </w:r>
      <w:r w:rsidR="008D2871" w:rsidRPr="00114059">
        <w:rPr>
          <w:iCs/>
        </w:rPr>
        <w:t>u</w:t>
      </w:r>
      <w:r w:rsidR="00510DC7" w:rsidRPr="00114059">
        <w:rPr>
          <w:iCs/>
        </w:rPr>
        <w:t>r</w:t>
      </w:r>
      <w:r w:rsidR="008D2871" w:rsidRPr="00114059">
        <w:rPr>
          <w:iCs/>
        </w:rPr>
        <w:t>al lands and historic and religious sites,</w:t>
      </w:r>
      <w:r w:rsidR="00061539" w:rsidRPr="00114059">
        <w:rPr>
          <w:iCs/>
        </w:rPr>
        <w:t xml:space="preserve"> </w:t>
      </w:r>
      <w:r w:rsidR="006F4A3B" w:rsidRPr="00114059">
        <w:rPr>
          <w:iCs/>
        </w:rPr>
        <w:t xml:space="preserve">as well as acts of terror by several extremist Israeli settlers, </w:t>
      </w:r>
      <w:r w:rsidR="00061539" w:rsidRPr="00114059">
        <w:rPr>
          <w:iCs/>
        </w:rPr>
        <w:t>which are a long-standing phenomenon aimed</w:t>
      </w:r>
      <w:r w:rsidR="004566BF" w:rsidRPr="00114059">
        <w:rPr>
          <w:iCs/>
        </w:rPr>
        <w:t xml:space="preserve"> at,</w:t>
      </w:r>
      <w:r w:rsidR="00061539" w:rsidRPr="00114059">
        <w:rPr>
          <w:iCs/>
        </w:rPr>
        <w:t xml:space="preserve"> inter alia</w:t>
      </w:r>
      <w:r w:rsidR="004566BF" w:rsidRPr="00114059">
        <w:rPr>
          <w:iCs/>
        </w:rPr>
        <w:t>,</w:t>
      </w:r>
      <w:r w:rsidR="00061539" w:rsidRPr="00114059">
        <w:rPr>
          <w:iCs/>
        </w:rPr>
        <w:t xml:space="preserve"> displacing the occupied population and facilitating the expansion of settlements,</w:t>
      </w:r>
    </w:p>
    <w:p w14:paraId="343F8BDF" w14:textId="77777777" w:rsidR="00AB1878" w:rsidRPr="00114059" w:rsidRDefault="00E767DA" w:rsidP="00AB1878">
      <w:pPr>
        <w:pStyle w:val="SingleTxtG"/>
        <w:ind w:firstLine="567"/>
        <w:rPr>
          <w:iCs/>
        </w:rPr>
      </w:pPr>
      <w:r w:rsidRPr="00114059">
        <w:rPr>
          <w:iCs/>
        </w:rPr>
        <w:t xml:space="preserve">PP24 </w:t>
      </w:r>
      <w:r w:rsidR="00510DC7" w:rsidRPr="00114059">
        <w:rPr>
          <w:i/>
          <w:iCs/>
        </w:rPr>
        <w:t xml:space="preserve">Expressing concern </w:t>
      </w:r>
      <w:r w:rsidR="00510DC7" w:rsidRPr="00114059">
        <w:rPr>
          <w:iCs/>
        </w:rPr>
        <w:t>at</w:t>
      </w:r>
      <w:r w:rsidR="00AB2EC7" w:rsidRPr="00114059">
        <w:rPr>
          <w:iCs/>
        </w:rPr>
        <w:t xml:space="preserve"> ongoing impunity for acts of settler violence against Palestinian </w:t>
      </w:r>
      <w:r w:rsidR="001B749E" w:rsidRPr="00114059">
        <w:rPr>
          <w:iCs/>
        </w:rPr>
        <w:t xml:space="preserve">civilians </w:t>
      </w:r>
      <w:r w:rsidR="00AB2EC7" w:rsidRPr="00114059">
        <w:rPr>
          <w:iCs/>
        </w:rPr>
        <w:t>and their properties,</w:t>
      </w:r>
      <w:r w:rsidR="006F4A3B" w:rsidRPr="00114059">
        <w:rPr>
          <w:iCs/>
        </w:rPr>
        <w:t xml:space="preserve"> </w:t>
      </w:r>
      <w:r w:rsidR="00AB2EC7" w:rsidRPr="00114059">
        <w:rPr>
          <w:iCs/>
        </w:rPr>
        <w:t xml:space="preserve">and </w:t>
      </w:r>
      <w:r w:rsidR="00AB2EC7" w:rsidRPr="00114059">
        <w:rPr>
          <w:i/>
          <w:iCs/>
        </w:rPr>
        <w:t>s</w:t>
      </w:r>
      <w:r w:rsidR="00061539" w:rsidRPr="00114059">
        <w:rPr>
          <w:i/>
          <w:iCs/>
        </w:rPr>
        <w:t xml:space="preserve">tressing </w:t>
      </w:r>
      <w:r w:rsidR="00061539" w:rsidRPr="00114059">
        <w:rPr>
          <w:iCs/>
        </w:rPr>
        <w:t xml:space="preserve">the need for Israel to investigate and to ensure accountability for </w:t>
      </w:r>
      <w:r w:rsidR="00AB2EC7" w:rsidRPr="00114059">
        <w:rPr>
          <w:iCs/>
        </w:rPr>
        <w:t xml:space="preserve">all of </w:t>
      </w:r>
      <w:r w:rsidR="00061539" w:rsidRPr="00114059">
        <w:rPr>
          <w:iCs/>
        </w:rPr>
        <w:t>these acts,</w:t>
      </w:r>
    </w:p>
    <w:p w14:paraId="04E5B971" w14:textId="77777777" w:rsidR="00061539" w:rsidRPr="00114059" w:rsidRDefault="00E767DA" w:rsidP="00061539">
      <w:pPr>
        <w:pStyle w:val="SingleTxtG"/>
        <w:ind w:firstLine="567"/>
        <w:rPr>
          <w:iCs/>
        </w:rPr>
      </w:pPr>
      <w:r w:rsidRPr="00114059">
        <w:rPr>
          <w:iCs/>
        </w:rPr>
        <w:t xml:space="preserve">PP25 </w:t>
      </w:r>
      <w:r w:rsidR="00061539" w:rsidRPr="00114059">
        <w:rPr>
          <w:i/>
          <w:iCs/>
        </w:rPr>
        <w:t>Aware</w:t>
      </w:r>
      <w:r w:rsidR="00061539" w:rsidRPr="00114059">
        <w:rPr>
          <w:iCs/>
        </w:rPr>
        <w:t xml:space="preserve"> of the detrimental impact of the Israeli settlements on Palestinian and other Arab natural resources, especially as a result of the confiscation of land and the forced diversion of water resources, including the destruction of orchards and crops and the seizure of water wells by Israeli settlers, and of the dire socioeconomic consequences in this regard, which precludes the Palestinian people from being able to exercise permanent sovereignty over their natural resources,</w:t>
      </w:r>
    </w:p>
    <w:p w14:paraId="7C07C5D7" w14:textId="77777777" w:rsidR="00061539" w:rsidRPr="00114059" w:rsidRDefault="00E767DA" w:rsidP="00061539">
      <w:pPr>
        <w:pStyle w:val="SingleTxtG"/>
        <w:ind w:firstLine="567"/>
        <w:rPr>
          <w:iCs/>
        </w:rPr>
      </w:pPr>
      <w:r w:rsidRPr="00114059">
        <w:rPr>
          <w:iCs/>
        </w:rPr>
        <w:t xml:space="preserve">PP26 </w:t>
      </w:r>
      <w:r w:rsidR="00061539" w:rsidRPr="00114059">
        <w:rPr>
          <w:i/>
          <w:iCs/>
        </w:rPr>
        <w:t>Noting</w:t>
      </w:r>
      <w:r w:rsidR="00061539" w:rsidRPr="00114059">
        <w:rPr>
          <w:iCs/>
        </w:rPr>
        <w:t xml:space="preserve"> that the agricultural sector, considered the cornerstone of Palestinian economic development, has not been able to play its strategic role because of the dispossession of land and the denial of access for farmers to agricultural areas, water resources and domestic and external markets </w:t>
      </w:r>
      <w:r w:rsidR="004566BF" w:rsidRPr="00114059">
        <w:rPr>
          <w:iCs/>
        </w:rPr>
        <w:t xml:space="preserve">owing </w:t>
      </w:r>
      <w:r w:rsidR="00061539" w:rsidRPr="00114059">
        <w:rPr>
          <w:iCs/>
        </w:rPr>
        <w:t>to the construction, consolidation and expansion of Israeli settlements,</w:t>
      </w:r>
    </w:p>
    <w:p w14:paraId="513DC63C" w14:textId="77777777" w:rsidR="00061539" w:rsidRPr="00114059" w:rsidRDefault="00E767DA" w:rsidP="00061539">
      <w:pPr>
        <w:pStyle w:val="SingleTxtG"/>
        <w:ind w:firstLine="567"/>
        <w:rPr>
          <w:iCs/>
        </w:rPr>
      </w:pPr>
      <w:r w:rsidRPr="00114059">
        <w:rPr>
          <w:iCs/>
        </w:rPr>
        <w:t xml:space="preserve">PP27 </w:t>
      </w:r>
      <w:r w:rsidR="00061539" w:rsidRPr="00114059">
        <w:rPr>
          <w:i/>
          <w:iCs/>
        </w:rPr>
        <w:t>Recalling</w:t>
      </w:r>
      <w:r w:rsidR="00061539" w:rsidRPr="00114059">
        <w:rPr>
          <w:iCs/>
        </w:rPr>
        <w:t xml:space="preserve"> Human Rights Council resolution 22/29 of 22 March 2013, in follow-up to the report of the independent international fact-finding mission to investigate the implications of Israeli settlements on the civil, political, economic, social and cultural rights of the Palestinian people throughout the Occupied Palestinian Territory, including East Jerusalem,</w:t>
      </w:r>
    </w:p>
    <w:p w14:paraId="49EAD2D3" w14:textId="77777777" w:rsidR="00061539" w:rsidRPr="00114059" w:rsidRDefault="00E767DA" w:rsidP="00061539">
      <w:pPr>
        <w:pStyle w:val="SingleTxtG"/>
        <w:ind w:firstLine="567"/>
        <w:rPr>
          <w:iCs/>
        </w:rPr>
      </w:pPr>
      <w:r w:rsidRPr="00114059">
        <w:rPr>
          <w:iCs/>
        </w:rPr>
        <w:t xml:space="preserve">PP28 </w:t>
      </w:r>
      <w:r w:rsidR="00061539" w:rsidRPr="00114059">
        <w:rPr>
          <w:i/>
          <w:iCs/>
        </w:rPr>
        <w:t>Recalling also</w:t>
      </w:r>
      <w:r w:rsidR="00061539" w:rsidRPr="00114059">
        <w:rPr>
          <w:iCs/>
        </w:rPr>
        <w:t xml:space="preserve"> the Guiding Principles on Business and Human Rights,</w:t>
      </w:r>
      <w:r w:rsidR="00061539" w:rsidRPr="00114059">
        <w:rPr>
          <w:iCs/>
          <w:vertAlign w:val="superscript"/>
        </w:rPr>
        <w:t xml:space="preserve"> </w:t>
      </w:r>
      <w:r w:rsidR="00061539" w:rsidRPr="00114059">
        <w:rPr>
          <w:iCs/>
        </w:rPr>
        <w:t>which place responsibilities on all business enterprises to respect human rights by, inter alia, refraining from contributing to human rights abuses arising from conflict, and call upon States to provide adequate assistance to business enterprises to assess and address the heightened risks of abuses in conflict-affected areas, including by ensuring that their current policies, legislation, regulations and enforcement measures are effective in addressing the risk of business involvement in gross human rights abuses,</w:t>
      </w:r>
    </w:p>
    <w:p w14:paraId="50A6B920" w14:textId="77777777" w:rsidR="00061539" w:rsidRPr="00114059" w:rsidRDefault="00E767DA" w:rsidP="00061539">
      <w:pPr>
        <w:pStyle w:val="SingleTxtG"/>
        <w:ind w:firstLine="567"/>
        <w:rPr>
          <w:iCs/>
        </w:rPr>
      </w:pPr>
      <w:r w:rsidRPr="00114059">
        <w:rPr>
          <w:iCs/>
        </w:rPr>
        <w:t xml:space="preserve">PP29 </w:t>
      </w:r>
      <w:r w:rsidR="00061539" w:rsidRPr="00114059">
        <w:rPr>
          <w:i/>
          <w:iCs/>
        </w:rPr>
        <w:t xml:space="preserve">Noting </w:t>
      </w:r>
      <w:r w:rsidR="00061539" w:rsidRPr="00114059">
        <w:rPr>
          <w:iCs/>
        </w:rPr>
        <w:t>that</w:t>
      </w:r>
      <w:r w:rsidR="004566BF" w:rsidRPr="00114059">
        <w:rPr>
          <w:iCs/>
        </w:rPr>
        <w:t>,</w:t>
      </w:r>
      <w:r w:rsidR="00061539" w:rsidRPr="00114059">
        <w:rPr>
          <w:iCs/>
        </w:rPr>
        <w:t xml:space="preserve"> in situations of armed conflict, business enterprises should respect the standards of international humanitarian law, and concerned that some business enterprises have</w:t>
      </w:r>
      <w:r w:rsidR="00D865C3" w:rsidRPr="00114059">
        <w:rPr>
          <w:iCs/>
        </w:rPr>
        <w:t>, directly and indirectly,</w:t>
      </w:r>
      <w:r w:rsidR="00061539" w:rsidRPr="00114059">
        <w:rPr>
          <w:iCs/>
        </w:rPr>
        <w:t xml:space="preserve"> enabled, facilitated and profited from the construction and growth of the Israeli settlements in the Occupied Palestinian Territory,</w:t>
      </w:r>
    </w:p>
    <w:p w14:paraId="2718DD9D" w14:textId="77777777" w:rsidR="00061539" w:rsidRPr="00114059" w:rsidRDefault="00E767DA" w:rsidP="00061539">
      <w:pPr>
        <w:pStyle w:val="SingleTxtG"/>
        <w:ind w:firstLine="567"/>
        <w:rPr>
          <w:iCs/>
        </w:rPr>
      </w:pPr>
      <w:r w:rsidRPr="00114059">
        <w:rPr>
          <w:iCs/>
        </w:rPr>
        <w:t>PP3</w:t>
      </w:r>
      <w:r w:rsidR="00590E84" w:rsidRPr="00114059">
        <w:rPr>
          <w:iCs/>
        </w:rPr>
        <w:t>0</w:t>
      </w:r>
      <w:r w:rsidRPr="00114059">
        <w:rPr>
          <w:iCs/>
        </w:rPr>
        <w:t xml:space="preserve"> </w:t>
      </w:r>
      <w:r w:rsidR="00061539" w:rsidRPr="00114059">
        <w:rPr>
          <w:i/>
          <w:iCs/>
        </w:rPr>
        <w:t>Reaffirming</w:t>
      </w:r>
      <w:r w:rsidR="00061539" w:rsidRPr="00114059">
        <w:rPr>
          <w:iCs/>
        </w:rPr>
        <w:t xml:space="preserve"> the fact that the High Contracting Parties to the Fourth Geneva Convention relative to the Protection of Civilian Persons in Time of War undertook to respect and ensure respect for the Convention in all circumstances, and that States should not recognize an unlawful situation arising from breaches of peremptory norms of international law,</w:t>
      </w:r>
    </w:p>
    <w:p w14:paraId="7FFA9378" w14:textId="77777777" w:rsidR="00061539" w:rsidRPr="00114059" w:rsidRDefault="00E767DA" w:rsidP="00061539">
      <w:pPr>
        <w:pStyle w:val="SingleTxtG"/>
        <w:ind w:firstLine="567"/>
        <w:rPr>
          <w:iCs/>
        </w:rPr>
      </w:pPr>
      <w:r w:rsidRPr="00114059">
        <w:rPr>
          <w:iCs/>
        </w:rPr>
        <w:t>PP3</w:t>
      </w:r>
      <w:r w:rsidR="00590E84" w:rsidRPr="00114059">
        <w:rPr>
          <w:iCs/>
        </w:rPr>
        <w:t>1</w:t>
      </w:r>
      <w:r w:rsidRPr="00114059">
        <w:rPr>
          <w:iCs/>
        </w:rPr>
        <w:t xml:space="preserve"> </w:t>
      </w:r>
      <w:r w:rsidR="00061539" w:rsidRPr="00114059">
        <w:rPr>
          <w:i/>
          <w:iCs/>
        </w:rPr>
        <w:t>Calling upon</w:t>
      </w:r>
      <w:r w:rsidR="00061539" w:rsidRPr="00114059">
        <w:rPr>
          <w:iCs/>
        </w:rPr>
        <w:t xml:space="preserve"> all States not to provide Israel with any assistance to be used specifically in connection with settlements in the Occupied Palestinian Territory, including East Jerusalem, and in the occupied Syrian Golan,</w:t>
      </w:r>
      <w:r w:rsidR="00AB1D14" w:rsidRPr="00114059">
        <w:rPr>
          <w:iCs/>
        </w:rPr>
        <w:t xml:space="preserve"> </w:t>
      </w:r>
    </w:p>
    <w:p w14:paraId="4AF84EB7" w14:textId="77777777" w:rsidR="00061539" w:rsidRPr="00114059" w:rsidRDefault="00E767DA" w:rsidP="00061539">
      <w:pPr>
        <w:pStyle w:val="SingleTxtG"/>
        <w:ind w:firstLine="567"/>
        <w:rPr>
          <w:iCs/>
        </w:rPr>
      </w:pPr>
      <w:r w:rsidRPr="00114059">
        <w:rPr>
          <w:iCs/>
        </w:rPr>
        <w:t>PP3</w:t>
      </w:r>
      <w:r w:rsidR="00590E84" w:rsidRPr="00114059">
        <w:rPr>
          <w:iCs/>
        </w:rPr>
        <w:t>2</w:t>
      </w:r>
      <w:r w:rsidRPr="00114059">
        <w:rPr>
          <w:iCs/>
        </w:rPr>
        <w:t xml:space="preserve"> </w:t>
      </w:r>
      <w:r w:rsidR="00061539" w:rsidRPr="00114059">
        <w:rPr>
          <w:i/>
          <w:iCs/>
        </w:rPr>
        <w:t>Emphasizing</w:t>
      </w:r>
      <w:r w:rsidR="00061539" w:rsidRPr="00114059">
        <w:rPr>
          <w:iCs/>
        </w:rPr>
        <w:t xml:space="preserve"> the importance for States to act in accordance with their own national legislation on promoting compliance with international humanitarian law with regard to business activities that result in human rights abuses,</w:t>
      </w:r>
    </w:p>
    <w:p w14:paraId="32F0A084" w14:textId="77777777" w:rsidR="00061539" w:rsidRPr="00114059" w:rsidRDefault="00E767DA" w:rsidP="00061539">
      <w:pPr>
        <w:pStyle w:val="SingleTxtG"/>
        <w:ind w:firstLine="567"/>
        <w:rPr>
          <w:iCs/>
        </w:rPr>
      </w:pPr>
      <w:r w:rsidRPr="00114059">
        <w:rPr>
          <w:iCs/>
        </w:rPr>
        <w:t>PP3</w:t>
      </w:r>
      <w:r w:rsidR="00590E84" w:rsidRPr="00114059">
        <w:rPr>
          <w:iCs/>
        </w:rPr>
        <w:t>3</w:t>
      </w:r>
      <w:r w:rsidRPr="00114059">
        <w:rPr>
          <w:iCs/>
        </w:rPr>
        <w:t xml:space="preserve"> </w:t>
      </w:r>
      <w:r w:rsidR="00061539" w:rsidRPr="00114059">
        <w:rPr>
          <w:i/>
          <w:iCs/>
        </w:rPr>
        <w:t xml:space="preserve">Concerned </w:t>
      </w:r>
      <w:r w:rsidR="001022C8" w:rsidRPr="00114059">
        <w:rPr>
          <w:iCs/>
        </w:rPr>
        <w:t>that</w:t>
      </w:r>
      <w:r w:rsidR="00061539" w:rsidRPr="00114059">
        <w:rPr>
          <w:iCs/>
        </w:rPr>
        <w:t xml:space="preserve"> economic activities</w:t>
      </w:r>
      <w:r w:rsidR="008227B5" w:rsidRPr="00114059">
        <w:rPr>
          <w:iCs/>
        </w:rPr>
        <w:t xml:space="preserve"> </w:t>
      </w:r>
      <w:r w:rsidR="00510DC7" w:rsidRPr="00114059">
        <w:rPr>
          <w:iCs/>
        </w:rPr>
        <w:t>facilitat</w:t>
      </w:r>
      <w:r w:rsidR="001E3D8D" w:rsidRPr="00114059">
        <w:rPr>
          <w:iCs/>
        </w:rPr>
        <w:t>e</w:t>
      </w:r>
      <w:r w:rsidR="00061539" w:rsidRPr="00114059">
        <w:rPr>
          <w:iCs/>
        </w:rPr>
        <w:t xml:space="preserve"> </w:t>
      </w:r>
      <w:r w:rsidR="004566BF" w:rsidRPr="00114059">
        <w:rPr>
          <w:iCs/>
        </w:rPr>
        <w:t xml:space="preserve">the </w:t>
      </w:r>
      <w:r w:rsidR="00061539" w:rsidRPr="00114059">
        <w:rPr>
          <w:iCs/>
        </w:rPr>
        <w:t>expansion and entrenchment of settlements, and aware that the conditions of harvesting and production for products made in settlements involve</w:t>
      </w:r>
      <w:r w:rsidR="00ED01BE" w:rsidRPr="00114059">
        <w:rPr>
          <w:iCs/>
        </w:rPr>
        <w:t xml:space="preserve"> </w:t>
      </w:r>
      <w:r w:rsidR="008227B5" w:rsidRPr="00114059">
        <w:rPr>
          <w:iCs/>
        </w:rPr>
        <w:t xml:space="preserve">the breach of applicable legal norms, </w:t>
      </w:r>
      <w:r w:rsidR="00061539" w:rsidRPr="00114059">
        <w:rPr>
          <w:iCs/>
        </w:rPr>
        <w:t>inter alia</w:t>
      </w:r>
      <w:r w:rsidR="004566BF" w:rsidRPr="00114059">
        <w:rPr>
          <w:iCs/>
        </w:rPr>
        <w:t>,</w:t>
      </w:r>
      <w:r w:rsidR="00061539" w:rsidRPr="00114059">
        <w:rPr>
          <w:iCs/>
        </w:rPr>
        <w:t xml:space="preserve"> the exploitation of the natural resources of the Occupied Palestinian Territory, including East Jerusalem,</w:t>
      </w:r>
      <w:r w:rsidR="006F4A3B" w:rsidRPr="00114059">
        <w:rPr>
          <w:iCs/>
        </w:rPr>
        <w:t xml:space="preserve"> </w:t>
      </w:r>
      <w:r w:rsidR="00510DC7" w:rsidRPr="00114059">
        <w:rPr>
          <w:iCs/>
        </w:rPr>
        <w:t>and calling on all States to respect their legal obligations in this regard,</w:t>
      </w:r>
    </w:p>
    <w:p w14:paraId="544AC038" w14:textId="77777777" w:rsidR="00613569" w:rsidRPr="00114059" w:rsidRDefault="00E767DA" w:rsidP="009231A3">
      <w:pPr>
        <w:pStyle w:val="SingleTxtG"/>
        <w:ind w:firstLine="567"/>
        <w:rPr>
          <w:iCs/>
        </w:rPr>
      </w:pPr>
      <w:r w:rsidRPr="00114059">
        <w:rPr>
          <w:iCs/>
        </w:rPr>
        <w:t>PP3</w:t>
      </w:r>
      <w:r w:rsidR="00590E84" w:rsidRPr="00114059">
        <w:rPr>
          <w:iCs/>
        </w:rPr>
        <w:t>4</w:t>
      </w:r>
      <w:r w:rsidRPr="00114059">
        <w:rPr>
          <w:iCs/>
        </w:rPr>
        <w:t xml:space="preserve"> </w:t>
      </w:r>
      <w:r w:rsidR="00280440" w:rsidRPr="00114059">
        <w:rPr>
          <w:i/>
          <w:iCs/>
        </w:rPr>
        <w:t>A</w:t>
      </w:r>
      <w:r w:rsidR="00ED01BE" w:rsidRPr="00114059">
        <w:rPr>
          <w:i/>
          <w:iCs/>
        </w:rPr>
        <w:t>ware</w:t>
      </w:r>
      <w:r w:rsidR="00ED01BE" w:rsidRPr="00114059">
        <w:rPr>
          <w:iCs/>
        </w:rPr>
        <w:t xml:space="preserve"> that products wholly or partially produced in settlements </w:t>
      </w:r>
      <w:r w:rsidR="00EB45DD" w:rsidRPr="00114059">
        <w:rPr>
          <w:iCs/>
        </w:rPr>
        <w:t xml:space="preserve">have been labelled </w:t>
      </w:r>
      <w:r w:rsidR="00ED01BE" w:rsidRPr="00114059">
        <w:rPr>
          <w:iCs/>
        </w:rPr>
        <w:t>as originating from Israel,</w:t>
      </w:r>
      <w:r w:rsidR="006F4A3B" w:rsidRPr="00114059">
        <w:rPr>
          <w:iCs/>
        </w:rPr>
        <w:t xml:space="preserve"> </w:t>
      </w:r>
    </w:p>
    <w:p w14:paraId="52BCFD22" w14:textId="77777777" w:rsidR="00B92872" w:rsidRPr="00114059" w:rsidRDefault="00E767DA" w:rsidP="00061539">
      <w:pPr>
        <w:pStyle w:val="SingleTxtG"/>
        <w:ind w:firstLine="567"/>
        <w:rPr>
          <w:iCs/>
        </w:rPr>
      </w:pPr>
      <w:r w:rsidRPr="00114059">
        <w:rPr>
          <w:iCs/>
        </w:rPr>
        <w:t>PP3</w:t>
      </w:r>
      <w:r w:rsidR="00590E84" w:rsidRPr="00114059">
        <w:rPr>
          <w:iCs/>
        </w:rPr>
        <w:t>5</w:t>
      </w:r>
      <w:r w:rsidRPr="00114059">
        <w:rPr>
          <w:iCs/>
        </w:rPr>
        <w:t xml:space="preserve"> </w:t>
      </w:r>
      <w:r w:rsidR="00B92872" w:rsidRPr="00114059">
        <w:rPr>
          <w:i/>
          <w:iCs/>
        </w:rPr>
        <w:t xml:space="preserve">Aware </w:t>
      </w:r>
      <w:r w:rsidR="00280440" w:rsidRPr="00114059">
        <w:rPr>
          <w:i/>
          <w:iCs/>
        </w:rPr>
        <w:t xml:space="preserve">also </w:t>
      </w:r>
      <w:r w:rsidR="00B92872" w:rsidRPr="00114059">
        <w:rPr>
          <w:iCs/>
        </w:rPr>
        <w:t xml:space="preserve">of the role of </w:t>
      </w:r>
      <w:r w:rsidR="00247C0B" w:rsidRPr="00114059">
        <w:rPr>
          <w:iCs/>
        </w:rPr>
        <w:t xml:space="preserve">private </w:t>
      </w:r>
      <w:r w:rsidR="00280440" w:rsidRPr="00114059">
        <w:rPr>
          <w:iCs/>
        </w:rPr>
        <w:t>individuals,</w:t>
      </w:r>
      <w:r w:rsidR="00D97025" w:rsidRPr="00114059">
        <w:rPr>
          <w:iCs/>
        </w:rPr>
        <w:t xml:space="preserve"> associations</w:t>
      </w:r>
      <w:r w:rsidR="00280440" w:rsidRPr="00114059">
        <w:rPr>
          <w:iCs/>
        </w:rPr>
        <w:t xml:space="preserve"> and charities</w:t>
      </w:r>
      <w:r w:rsidR="00B92872" w:rsidRPr="00114059">
        <w:rPr>
          <w:iCs/>
        </w:rPr>
        <w:t xml:space="preserve"> in third States that are involved in providing funding to Israeli</w:t>
      </w:r>
      <w:r w:rsidR="00EB45DD" w:rsidRPr="00114059">
        <w:rPr>
          <w:iCs/>
        </w:rPr>
        <w:t xml:space="preserve"> settlements and settlement-based entities,</w:t>
      </w:r>
      <w:r w:rsidR="00B92872" w:rsidRPr="00114059">
        <w:rPr>
          <w:iCs/>
        </w:rPr>
        <w:t xml:space="preserve"> </w:t>
      </w:r>
      <w:r w:rsidR="007937E8" w:rsidRPr="00114059">
        <w:rPr>
          <w:iCs/>
        </w:rPr>
        <w:t>contributing</w:t>
      </w:r>
      <w:r w:rsidR="00B92872" w:rsidRPr="00114059">
        <w:rPr>
          <w:iCs/>
        </w:rPr>
        <w:t xml:space="preserve"> to</w:t>
      </w:r>
      <w:r w:rsidR="00EB45DD" w:rsidRPr="00114059">
        <w:rPr>
          <w:iCs/>
        </w:rPr>
        <w:t xml:space="preserve"> the</w:t>
      </w:r>
      <w:r w:rsidR="00B92872" w:rsidRPr="00114059">
        <w:rPr>
          <w:iCs/>
        </w:rPr>
        <w:t xml:space="preserve"> maintenance</w:t>
      </w:r>
      <w:r w:rsidR="00280440" w:rsidRPr="00114059">
        <w:rPr>
          <w:iCs/>
        </w:rPr>
        <w:t xml:space="preserve"> and expansion</w:t>
      </w:r>
      <w:r w:rsidR="00EB45DD" w:rsidRPr="00114059">
        <w:rPr>
          <w:iCs/>
        </w:rPr>
        <w:t xml:space="preserve"> of settlements</w:t>
      </w:r>
      <w:r w:rsidR="00B92872" w:rsidRPr="00114059">
        <w:rPr>
          <w:iCs/>
        </w:rPr>
        <w:t>,</w:t>
      </w:r>
      <w:r w:rsidR="007937E8" w:rsidRPr="00114059">
        <w:rPr>
          <w:iCs/>
        </w:rPr>
        <w:t xml:space="preserve"> </w:t>
      </w:r>
    </w:p>
    <w:p w14:paraId="3747E48F" w14:textId="77777777" w:rsidR="00061539" w:rsidRPr="00114059" w:rsidRDefault="00E767DA" w:rsidP="00061539">
      <w:pPr>
        <w:pStyle w:val="SingleTxtG"/>
        <w:ind w:firstLine="567"/>
      </w:pPr>
      <w:r w:rsidRPr="00114059">
        <w:rPr>
          <w:iCs/>
        </w:rPr>
        <w:t>PP3</w:t>
      </w:r>
      <w:r w:rsidR="00590E84" w:rsidRPr="00114059">
        <w:rPr>
          <w:iCs/>
        </w:rPr>
        <w:t>6</w:t>
      </w:r>
      <w:r w:rsidRPr="00114059">
        <w:rPr>
          <w:iCs/>
        </w:rPr>
        <w:t xml:space="preserve"> </w:t>
      </w:r>
      <w:r w:rsidR="00061539" w:rsidRPr="00114059">
        <w:rPr>
          <w:i/>
          <w:iCs/>
        </w:rPr>
        <w:t xml:space="preserve">Expressing its concern </w:t>
      </w:r>
      <w:r w:rsidR="00061539" w:rsidRPr="00114059">
        <w:t xml:space="preserve">at the failure of Israel, the occupying Power, to cooperate fully with the relevant United Nations mechanisms, in particular the Special Rapporteur on the situation of human rights in the Palestinian </w:t>
      </w:r>
      <w:r w:rsidR="004566BF" w:rsidRPr="00114059">
        <w:t>t</w:t>
      </w:r>
      <w:r w:rsidR="00061539" w:rsidRPr="00114059">
        <w:t>erritories occupied since 1967,</w:t>
      </w:r>
    </w:p>
    <w:p w14:paraId="5C18084E" w14:textId="77777777" w:rsidR="00061539" w:rsidRPr="00114059" w:rsidRDefault="00061539" w:rsidP="00061539">
      <w:pPr>
        <w:pStyle w:val="SingleTxtG"/>
        <w:ind w:firstLine="567"/>
      </w:pPr>
      <w:r w:rsidRPr="00114059">
        <w:rPr>
          <w:iCs/>
        </w:rPr>
        <w:t>1.</w:t>
      </w:r>
      <w:r w:rsidRPr="00114059">
        <w:rPr>
          <w:i/>
          <w:iCs/>
        </w:rPr>
        <w:tab/>
        <w:t>Reaffirms</w:t>
      </w:r>
      <w:r w:rsidRPr="00114059">
        <w:rPr>
          <w:iCs/>
        </w:rPr>
        <w:t xml:space="preserve"> that the Israeli settlements in the Occupied Palestinian Territory, including East Jerusalem, and in the occupied Syrian Golan are illegal and an obstacle to peace and economic and social development</w:t>
      </w:r>
      <w:r w:rsidRPr="00114059">
        <w:t>;</w:t>
      </w:r>
    </w:p>
    <w:p w14:paraId="210387AE" w14:textId="77777777" w:rsidR="00061539" w:rsidRPr="00114059" w:rsidRDefault="00061539" w:rsidP="00061539">
      <w:pPr>
        <w:pStyle w:val="SingleTxtG"/>
        <w:ind w:firstLine="567"/>
        <w:rPr>
          <w:iCs/>
        </w:rPr>
      </w:pPr>
      <w:r w:rsidRPr="00114059">
        <w:rPr>
          <w:iCs/>
        </w:rPr>
        <w:t>2.</w:t>
      </w:r>
      <w:r w:rsidRPr="00114059">
        <w:rPr>
          <w:iCs/>
        </w:rPr>
        <w:tab/>
      </w:r>
      <w:r w:rsidRPr="00114059">
        <w:rPr>
          <w:i/>
          <w:iCs/>
        </w:rPr>
        <w:t>Calls upon</w:t>
      </w:r>
      <w:r w:rsidRPr="00114059">
        <w:rPr>
          <w:iCs/>
        </w:rPr>
        <w:t xml:space="preserve"> Israel to accept the de jure applicability of the Geneva Convention relative to the Protection of Civilian Persons in Time of War, of 12 August 1949, to the Occupied Palestinian Territory, including East Jerusalem, and to the occupied Syrian Golan, to abide scrupulously by the provisions of the Convention, in particular article 49 thereof, and to comply with all its obligations under international law and cease immediately all actions causing the alteration of the character, status and demographic composition of the Occupied Palestinian Territory, including East Jerusalem, and the occupied Syrian Golan;</w:t>
      </w:r>
    </w:p>
    <w:p w14:paraId="1F78F4E8" w14:textId="77777777" w:rsidR="00061539" w:rsidRPr="00114059" w:rsidRDefault="00061539" w:rsidP="00061539">
      <w:pPr>
        <w:pStyle w:val="SingleTxtG"/>
        <w:ind w:firstLine="567"/>
        <w:rPr>
          <w:iCs/>
        </w:rPr>
      </w:pPr>
      <w:r w:rsidRPr="00114059">
        <w:rPr>
          <w:iCs/>
        </w:rPr>
        <w:t>3.</w:t>
      </w:r>
      <w:r w:rsidRPr="00114059">
        <w:rPr>
          <w:iCs/>
        </w:rPr>
        <w:tab/>
      </w:r>
      <w:r w:rsidRPr="00114059">
        <w:rPr>
          <w:i/>
          <w:iCs/>
        </w:rPr>
        <w:t>Demands</w:t>
      </w:r>
      <w:r w:rsidRPr="00114059">
        <w:rPr>
          <w:iCs/>
        </w:rPr>
        <w:t xml:space="preserve"> that Israel, the occupying Power, immediately cease all settlement activities in all the Occupied Palestinian Territory, including East Jerusalem, and in the occupied Syrian Golan,</w:t>
      </w:r>
      <w:r w:rsidRPr="00114059">
        <w:t xml:space="preserve"> </w:t>
      </w:r>
      <w:r w:rsidRPr="00114059">
        <w:rPr>
          <w:iCs/>
        </w:rPr>
        <w:t>and calls in this regard for the full implementation of all relevant resolutions of the Security Council, including, inter alia, resolutions 446 (1979) of 22 March 1979, 452 (1979) of 20 July 1979, 465 (1980) of 1 March 1980, 476 (1980) of 30 June 1980 and 1515 (2003) of 19 November 2003;</w:t>
      </w:r>
    </w:p>
    <w:p w14:paraId="7E5821D3" w14:textId="77777777" w:rsidR="00061539" w:rsidRPr="00114059" w:rsidRDefault="00061539" w:rsidP="00061539">
      <w:pPr>
        <w:pStyle w:val="SingleTxtG"/>
        <w:ind w:firstLine="567"/>
        <w:rPr>
          <w:iCs/>
        </w:rPr>
      </w:pPr>
      <w:r w:rsidRPr="00114059">
        <w:rPr>
          <w:iCs/>
        </w:rPr>
        <w:t>4.</w:t>
      </w:r>
      <w:r w:rsidRPr="00114059">
        <w:rPr>
          <w:iCs/>
        </w:rPr>
        <w:tab/>
      </w:r>
      <w:r w:rsidR="004566BF" w:rsidRPr="00114059">
        <w:rPr>
          <w:i/>
          <w:iCs/>
        </w:rPr>
        <w:t>Also d</w:t>
      </w:r>
      <w:r w:rsidRPr="00114059">
        <w:rPr>
          <w:i/>
          <w:iCs/>
        </w:rPr>
        <w:t>emands</w:t>
      </w:r>
      <w:r w:rsidRPr="00114059">
        <w:rPr>
          <w:iCs/>
        </w:rPr>
        <w:t xml:space="preserve"> that Israel, the occupying Power, comply fully with its legal obligations, as mentioned in the advisory opinion rendered on 9 July 2004 by the International Court of Justice;</w:t>
      </w:r>
    </w:p>
    <w:p w14:paraId="161688AD" w14:textId="77777777" w:rsidR="00061539" w:rsidRPr="00114059" w:rsidRDefault="00061539" w:rsidP="00061539">
      <w:pPr>
        <w:pStyle w:val="SingleTxtG"/>
        <w:ind w:firstLine="567"/>
      </w:pPr>
      <w:r w:rsidRPr="00114059">
        <w:rPr>
          <w:iCs/>
        </w:rPr>
        <w:t>5.</w:t>
      </w:r>
      <w:r w:rsidRPr="00114059">
        <w:rPr>
          <w:iCs/>
        </w:rPr>
        <w:tab/>
      </w:r>
      <w:r w:rsidRPr="00114059">
        <w:rPr>
          <w:i/>
          <w:iCs/>
        </w:rPr>
        <w:t xml:space="preserve">Condemns </w:t>
      </w:r>
      <w:r w:rsidRPr="00114059">
        <w:rPr>
          <w:iCs/>
        </w:rPr>
        <w:t xml:space="preserve">the continuing settlement and related activities by Israel, including </w:t>
      </w:r>
      <w:r w:rsidRPr="00114059">
        <w:t xml:space="preserve">the expansion of settlements, the expropriation of land, the demolition of houses, the confiscation and destruction of property, the expulsion </w:t>
      </w:r>
      <w:r w:rsidR="001D1C9F" w:rsidRPr="00114059">
        <w:t xml:space="preserve">and displacement </w:t>
      </w:r>
      <w:r w:rsidRPr="00114059">
        <w:t xml:space="preserve">of Palestinians </w:t>
      </w:r>
      <w:r w:rsidR="00CA4654" w:rsidRPr="00114059">
        <w:t>including</w:t>
      </w:r>
      <w:r w:rsidR="001D1C9F" w:rsidRPr="00114059">
        <w:t xml:space="preserve"> entire communities </w:t>
      </w:r>
      <w:r w:rsidRPr="00114059">
        <w:t>and the construction of bypass roads, which change the physical character and demographic composition of the occupied territories, including East Jerusalem and the Syrian Golan, and constitute a violation of the Fourth Geneva Convention relative to the Protection of Civilian Persons in Time of War, of 12 August 1949, and in particular article 49 thereof;</w:t>
      </w:r>
    </w:p>
    <w:p w14:paraId="79861369" w14:textId="77777777" w:rsidR="00061539" w:rsidRPr="00114059" w:rsidRDefault="00061539" w:rsidP="00061539">
      <w:pPr>
        <w:pStyle w:val="SingleTxtG"/>
        <w:ind w:firstLine="567"/>
      </w:pPr>
      <w:r w:rsidRPr="00114059">
        <w:t>6.</w:t>
      </w:r>
      <w:r w:rsidRPr="00114059">
        <w:tab/>
      </w:r>
      <w:r w:rsidRPr="00114059">
        <w:rPr>
          <w:i/>
        </w:rPr>
        <w:t>Also condemns</w:t>
      </w:r>
      <w:r w:rsidRPr="00114059">
        <w:t xml:space="preserve"> the construction of new housing units for Israeli settlers in the West Bank and around occupied East Jerusalem, as they seriously undermine the peace process and jeopardize the ongoing efforts by the international community to reach a final</w:t>
      </w:r>
      <w:r w:rsidR="004566BF" w:rsidRPr="00114059">
        <w:t xml:space="preserve"> and</w:t>
      </w:r>
      <w:r w:rsidRPr="00114059">
        <w:t xml:space="preserve"> just peace solution compliant with international </w:t>
      </w:r>
      <w:r w:rsidR="00280440" w:rsidRPr="00114059">
        <w:t>law</w:t>
      </w:r>
      <w:r w:rsidR="00A64102" w:rsidRPr="00114059">
        <w:t xml:space="preserve"> and </w:t>
      </w:r>
      <w:r w:rsidRPr="00114059">
        <w:t>legitimacy, including relevant United Nations resolutions, constitute a threat to the two-State solution;</w:t>
      </w:r>
    </w:p>
    <w:p w14:paraId="27A396B0" w14:textId="77777777" w:rsidR="00061539" w:rsidRPr="00114059" w:rsidRDefault="00061539" w:rsidP="00061539">
      <w:pPr>
        <w:pStyle w:val="SingleTxtG"/>
        <w:ind w:firstLine="567"/>
      </w:pPr>
      <w:r w:rsidRPr="00114059">
        <w:rPr>
          <w:iCs/>
        </w:rPr>
        <w:t>7.</w:t>
      </w:r>
      <w:r w:rsidRPr="00114059">
        <w:rPr>
          <w:iCs/>
        </w:rPr>
        <w:tab/>
      </w:r>
      <w:r w:rsidRPr="00114059">
        <w:rPr>
          <w:i/>
          <w:iCs/>
        </w:rPr>
        <w:t xml:space="preserve">Expresses its grave concern </w:t>
      </w:r>
      <w:r w:rsidRPr="00114059">
        <w:t>at</w:t>
      </w:r>
      <w:r w:rsidR="004566BF" w:rsidRPr="00114059">
        <w:t>,</w:t>
      </w:r>
      <w:r w:rsidRPr="00114059">
        <w:t xml:space="preserve"> and calls for the cessation of:</w:t>
      </w:r>
    </w:p>
    <w:p w14:paraId="49D89502" w14:textId="77777777" w:rsidR="00061539" w:rsidRPr="00114059" w:rsidRDefault="00061539" w:rsidP="00061539">
      <w:pPr>
        <w:pStyle w:val="SingleTxtG"/>
        <w:ind w:firstLine="567"/>
      </w:pPr>
      <w:r w:rsidRPr="00114059">
        <w:t>(</w:t>
      </w:r>
      <w:r w:rsidRPr="00114059">
        <w:rPr>
          <w:i/>
          <w:iCs/>
        </w:rPr>
        <w:t>a</w:t>
      </w:r>
      <w:r w:rsidRPr="00114059">
        <w:t>)</w:t>
      </w:r>
      <w:r w:rsidRPr="00114059">
        <w:tab/>
        <w:t>The operat</w:t>
      </w:r>
      <w:r w:rsidRPr="00114059">
        <w:rPr>
          <w:bCs/>
        </w:rPr>
        <w:t>ion by Israel</w:t>
      </w:r>
      <w:r w:rsidRPr="00114059">
        <w:t xml:space="preserve"> </w:t>
      </w:r>
      <w:r w:rsidRPr="00114059">
        <w:rPr>
          <w:bCs/>
        </w:rPr>
        <w:t>of</w:t>
      </w:r>
      <w:r w:rsidRPr="00114059">
        <w:t xml:space="preserve"> a tramway linking the settlements with West Jerusalem, which is in clear violation of international law and relevant United Nations resolutions;</w:t>
      </w:r>
    </w:p>
    <w:p w14:paraId="14D95AFA" w14:textId="77777777" w:rsidR="00061539" w:rsidRPr="00114059" w:rsidRDefault="00061539" w:rsidP="00061539">
      <w:pPr>
        <w:pStyle w:val="SingleTxtG"/>
        <w:ind w:firstLine="567"/>
        <w:rPr>
          <w:iCs/>
        </w:rPr>
      </w:pPr>
      <w:r w:rsidRPr="00114059">
        <w:rPr>
          <w:iCs/>
        </w:rPr>
        <w:t>(</w:t>
      </w:r>
      <w:r w:rsidRPr="00114059">
        <w:rPr>
          <w:i/>
          <w:iCs/>
        </w:rPr>
        <w:t>b</w:t>
      </w:r>
      <w:r w:rsidRPr="00114059">
        <w:rPr>
          <w:iCs/>
        </w:rPr>
        <w:t>)</w:t>
      </w:r>
      <w:r w:rsidRPr="00114059">
        <w:rPr>
          <w:iCs/>
        </w:rPr>
        <w:tab/>
        <w:t xml:space="preserve">The expropriation of Palestinian land, </w:t>
      </w:r>
      <w:r w:rsidR="004566BF" w:rsidRPr="00114059">
        <w:rPr>
          <w:iCs/>
        </w:rPr>
        <w:t xml:space="preserve">the </w:t>
      </w:r>
      <w:r w:rsidRPr="00114059">
        <w:rPr>
          <w:iCs/>
        </w:rPr>
        <w:t>demolition of Palestinian homes, demolition orders, forced evictions and “relocation” plans</w:t>
      </w:r>
      <w:r w:rsidR="00DD3D15" w:rsidRPr="00114059">
        <w:rPr>
          <w:iCs/>
        </w:rPr>
        <w:t>,</w:t>
      </w:r>
      <w:r w:rsidRPr="00114059">
        <w:rPr>
          <w:iCs/>
        </w:rPr>
        <w:t xml:space="preserve"> </w:t>
      </w:r>
      <w:r w:rsidR="00DD3D15" w:rsidRPr="00114059">
        <w:rPr>
          <w:iCs/>
        </w:rPr>
        <w:t xml:space="preserve">the </w:t>
      </w:r>
      <w:r w:rsidR="00FD60C3" w:rsidRPr="00114059">
        <w:rPr>
          <w:iCs/>
        </w:rPr>
        <w:t>obstruction and destruction</w:t>
      </w:r>
      <w:r w:rsidR="00DD3D15" w:rsidRPr="00114059">
        <w:rPr>
          <w:iCs/>
        </w:rPr>
        <w:t xml:space="preserve"> of humanitarian assistance</w:t>
      </w:r>
      <w:r w:rsidR="00EB45DD" w:rsidRPr="00114059">
        <w:rPr>
          <w:iCs/>
        </w:rPr>
        <w:t xml:space="preserve"> </w:t>
      </w:r>
      <w:r w:rsidR="007C398E" w:rsidRPr="00114059">
        <w:rPr>
          <w:iCs/>
        </w:rPr>
        <w:t>and the creation of unbearable living conditions</w:t>
      </w:r>
      <w:r w:rsidR="00DD3D15" w:rsidRPr="00114059">
        <w:rPr>
          <w:iCs/>
        </w:rPr>
        <w:t xml:space="preserve">, </w:t>
      </w:r>
      <w:r w:rsidRPr="00114059">
        <w:rPr>
          <w:iCs/>
        </w:rPr>
        <w:t xml:space="preserve">by Israel in areas identified for the expansion and construction of settlements, </w:t>
      </w:r>
      <w:r w:rsidR="004566BF" w:rsidRPr="00114059">
        <w:rPr>
          <w:iCs/>
        </w:rPr>
        <w:t>and</w:t>
      </w:r>
      <w:r w:rsidRPr="00114059">
        <w:rPr>
          <w:iCs/>
        </w:rPr>
        <w:t xml:space="preserve"> other practices aimed at the forcible transfer of the Palestinian civilian population, including Bedouin communities and herders,</w:t>
      </w:r>
      <w:r w:rsidR="008D511C" w:rsidRPr="00114059">
        <w:rPr>
          <w:iCs/>
        </w:rPr>
        <w:t xml:space="preserve"> </w:t>
      </w:r>
      <w:r w:rsidR="00D57CE5" w:rsidRPr="00114059">
        <w:rPr>
          <w:iCs/>
        </w:rPr>
        <w:t>as well as</w:t>
      </w:r>
      <w:r w:rsidRPr="00114059">
        <w:rPr>
          <w:iCs/>
        </w:rPr>
        <w:t xml:space="preserve"> further settlement activities, including the denial of access to water</w:t>
      </w:r>
      <w:r w:rsidR="00280440" w:rsidRPr="00114059">
        <w:rPr>
          <w:iCs/>
        </w:rPr>
        <w:t xml:space="preserve"> and other basic services</w:t>
      </w:r>
      <w:r w:rsidRPr="00114059">
        <w:rPr>
          <w:iCs/>
        </w:rPr>
        <w:t xml:space="preserve"> by Israel to Palestinians in the Occupied Palestinian Territory, including East Jerusalem, particularly in areas slated for settlement expansion, and including the appropriation of Palestinian property through</w:t>
      </w:r>
      <w:r w:rsidR="004566BF" w:rsidRPr="00114059">
        <w:rPr>
          <w:iCs/>
        </w:rPr>
        <w:t>,</w:t>
      </w:r>
      <w:r w:rsidRPr="00114059">
        <w:rPr>
          <w:iCs/>
        </w:rPr>
        <w:t xml:space="preserve"> inter alia</w:t>
      </w:r>
      <w:r w:rsidR="004566BF" w:rsidRPr="00114059">
        <w:rPr>
          <w:iCs/>
        </w:rPr>
        <w:t>,</w:t>
      </w:r>
      <w:r w:rsidRPr="00114059">
        <w:rPr>
          <w:iCs/>
        </w:rPr>
        <w:t xml:space="preserve"> declarations of so-called “State lands”, closed “military zones”, “national parks” and “archaeological” sites to facilitate and advance the expansion or construction of settlements and related infrastructure, in violation of Israel’s obligations under international humanitarian </w:t>
      </w:r>
      <w:r w:rsidR="004566BF" w:rsidRPr="00114059">
        <w:rPr>
          <w:iCs/>
        </w:rPr>
        <w:t xml:space="preserve">law </w:t>
      </w:r>
      <w:r w:rsidRPr="00114059">
        <w:rPr>
          <w:iCs/>
        </w:rPr>
        <w:t>and international human rights law;</w:t>
      </w:r>
    </w:p>
    <w:p w14:paraId="7183D5D9" w14:textId="77777777" w:rsidR="00B16287" w:rsidRPr="00114059" w:rsidRDefault="00061539" w:rsidP="00B16287">
      <w:pPr>
        <w:pStyle w:val="SingleTxtG"/>
        <w:ind w:firstLine="567"/>
      </w:pPr>
      <w:r w:rsidRPr="00114059">
        <w:t>(</w:t>
      </w:r>
      <w:r w:rsidRPr="00114059">
        <w:rPr>
          <w:i/>
        </w:rPr>
        <w:t>c</w:t>
      </w:r>
      <w:r w:rsidRPr="00114059">
        <w:t>)</w:t>
      </w:r>
      <w:r w:rsidRPr="00114059">
        <w:tab/>
        <w:t>Israeli measures in the form of policies, laws and practices that have the effect of preventing Palestinians from full participation in the political, social, economic and cultural life of the Occupied Palestinian Territory, including East Jerusalem, and prevent their full development in both the West Bank and the Gaza Strip;</w:t>
      </w:r>
    </w:p>
    <w:p w14:paraId="69AFEC67" w14:textId="77777777" w:rsidR="00061539" w:rsidRPr="00114059" w:rsidRDefault="00061539" w:rsidP="00061539">
      <w:pPr>
        <w:pStyle w:val="SingleTxtG"/>
        <w:ind w:firstLine="567"/>
      </w:pPr>
      <w:r w:rsidRPr="00114059">
        <w:rPr>
          <w:iCs/>
        </w:rPr>
        <w:t>8.</w:t>
      </w:r>
      <w:r w:rsidRPr="00114059">
        <w:rPr>
          <w:iCs/>
        </w:rPr>
        <w:tab/>
      </w:r>
      <w:r w:rsidRPr="00114059">
        <w:rPr>
          <w:i/>
          <w:iCs/>
        </w:rPr>
        <w:t xml:space="preserve">Calls upon </w:t>
      </w:r>
      <w:r w:rsidRPr="00114059">
        <w:t>Israel, the occupying Power:</w:t>
      </w:r>
    </w:p>
    <w:p w14:paraId="1D0D0DF3" w14:textId="77777777" w:rsidR="00061539" w:rsidRPr="00114059" w:rsidRDefault="00061539" w:rsidP="00061539">
      <w:pPr>
        <w:pStyle w:val="SingleTxtG"/>
        <w:ind w:firstLine="567"/>
        <w:rPr>
          <w:bCs/>
        </w:rPr>
      </w:pPr>
      <w:r w:rsidRPr="00114059">
        <w:t>(</w:t>
      </w:r>
      <w:r w:rsidRPr="00114059">
        <w:rPr>
          <w:i/>
        </w:rPr>
        <w:t>a</w:t>
      </w:r>
      <w:r w:rsidRPr="00114059">
        <w:t>)</w:t>
      </w:r>
      <w:r w:rsidRPr="00114059">
        <w:tab/>
        <w:t>To reverse the settlement policy in the occupied territories, including East Jerusalem and the Syrian Golan, and, as a first step towards the dismantlement</w:t>
      </w:r>
      <w:r w:rsidR="00DD3D15" w:rsidRPr="00114059">
        <w:t xml:space="preserve"> of </w:t>
      </w:r>
      <w:r w:rsidR="00AE47BE" w:rsidRPr="00114059">
        <w:t>the</w:t>
      </w:r>
      <w:r w:rsidR="00DD3D15" w:rsidRPr="00114059">
        <w:t xml:space="preserve"> settlement </w:t>
      </w:r>
      <w:r w:rsidR="00AE47BE" w:rsidRPr="00114059">
        <w:t>enterprise</w:t>
      </w:r>
      <w:r w:rsidRPr="00114059">
        <w:t xml:space="preserve">, to stop immediately the expansion of existing settlements, including so-called natural growth and related activities, </w:t>
      </w:r>
      <w:r w:rsidR="00FF1134" w:rsidRPr="00114059">
        <w:t xml:space="preserve">to </w:t>
      </w:r>
      <w:r w:rsidRPr="00114059">
        <w:t xml:space="preserve">prevent any new installation of settlers in the occupied territories, including in East Jerusalem, and </w:t>
      </w:r>
      <w:r w:rsidR="004566BF" w:rsidRPr="00114059">
        <w:t xml:space="preserve">to </w:t>
      </w:r>
      <w:r w:rsidRPr="00114059">
        <w:t xml:space="preserve">discard its </w:t>
      </w:r>
      <w:r w:rsidR="00DD3D15" w:rsidRPr="00114059">
        <w:t>“</w:t>
      </w:r>
      <w:r w:rsidRPr="00114059">
        <w:t>E-1</w:t>
      </w:r>
      <w:r w:rsidR="00DD3D15" w:rsidRPr="00114059">
        <w:t>”</w:t>
      </w:r>
      <w:r w:rsidRPr="00114059">
        <w:t xml:space="preserve"> plan;</w:t>
      </w:r>
    </w:p>
    <w:p w14:paraId="18DCF7A6" w14:textId="77777777" w:rsidR="00061539" w:rsidRPr="00114059" w:rsidRDefault="00061539" w:rsidP="00061539">
      <w:pPr>
        <w:pStyle w:val="SingleTxtG"/>
        <w:ind w:firstLine="567"/>
        <w:rPr>
          <w:bCs/>
        </w:rPr>
      </w:pPr>
      <w:r w:rsidRPr="00114059">
        <w:rPr>
          <w:bCs/>
        </w:rPr>
        <w:t>(</w:t>
      </w:r>
      <w:r w:rsidRPr="00114059">
        <w:rPr>
          <w:bCs/>
          <w:i/>
        </w:rPr>
        <w:t>b</w:t>
      </w:r>
      <w:r w:rsidRPr="00114059">
        <w:rPr>
          <w:bCs/>
        </w:rPr>
        <w:t>)</w:t>
      </w:r>
      <w:r w:rsidRPr="00114059">
        <w:rPr>
          <w:bCs/>
        </w:rPr>
        <w:tab/>
        <w:t xml:space="preserve">To put an end to all of the human rights violations linked to the presence of settlements, especially of the right to self-determination, and </w:t>
      </w:r>
      <w:r w:rsidR="00AE375C" w:rsidRPr="00114059">
        <w:rPr>
          <w:bCs/>
        </w:rPr>
        <w:t xml:space="preserve">to </w:t>
      </w:r>
      <w:r w:rsidRPr="00114059">
        <w:rPr>
          <w:bCs/>
        </w:rPr>
        <w:t>fulfil its international obligations to provide effective remedy for victims;</w:t>
      </w:r>
    </w:p>
    <w:p w14:paraId="70156302" w14:textId="77777777" w:rsidR="00061539" w:rsidRPr="00114059" w:rsidRDefault="00061539" w:rsidP="00061539">
      <w:pPr>
        <w:pStyle w:val="SingleTxtG"/>
        <w:ind w:firstLine="567"/>
        <w:rPr>
          <w:bCs/>
        </w:rPr>
      </w:pPr>
      <w:r w:rsidRPr="00114059">
        <w:rPr>
          <w:bCs/>
        </w:rPr>
        <w:t>(</w:t>
      </w:r>
      <w:r w:rsidRPr="00114059">
        <w:rPr>
          <w:bCs/>
          <w:i/>
        </w:rPr>
        <w:t>c</w:t>
      </w:r>
      <w:r w:rsidRPr="00114059">
        <w:rPr>
          <w:bCs/>
        </w:rPr>
        <w:t>)</w:t>
      </w:r>
      <w:r w:rsidRPr="00114059">
        <w:rPr>
          <w:bCs/>
        </w:rPr>
        <w:tab/>
        <w:t xml:space="preserve">To take immediate measures to prohibit and eradicate all policies </w:t>
      </w:r>
      <w:r w:rsidR="00CC5394" w:rsidRPr="00114059">
        <w:rPr>
          <w:bCs/>
        </w:rPr>
        <w:t>and</w:t>
      </w:r>
      <w:r w:rsidRPr="00114059">
        <w:rPr>
          <w:bCs/>
        </w:rPr>
        <w:t xml:space="preserve"> practices that discriminate against and disproportionately affect the Palestinian population in the Occupied Palestinian Territory, including East Jerusalem, by, inter alia, putting an end to the system of separate roads for the exclusive use of Israeli settlers, who reside illegally in the said territory, to the complex combination of movement restrictions consisting of the wall, roadblocks and a permit regime that only affects the Palestinian population, the application of a two-tier legal system</w:t>
      </w:r>
      <w:r w:rsidR="002122B8" w:rsidRPr="00114059">
        <w:rPr>
          <w:bCs/>
        </w:rPr>
        <w:t xml:space="preserve"> that </w:t>
      </w:r>
      <w:r w:rsidR="002122B8" w:rsidRPr="00114059">
        <w:rPr>
          <w:rFonts w:eastAsia="SimSun"/>
          <w:iCs/>
        </w:rPr>
        <w:t xml:space="preserve">has </w:t>
      </w:r>
      <w:r w:rsidR="009C0FDA" w:rsidRPr="00114059">
        <w:rPr>
          <w:rFonts w:eastAsia="SimSun"/>
          <w:iCs/>
        </w:rPr>
        <w:t>facilitated</w:t>
      </w:r>
      <w:r w:rsidR="002122B8" w:rsidRPr="00114059">
        <w:rPr>
          <w:rFonts w:eastAsia="SimSun"/>
          <w:iCs/>
        </w:rPr>
        <w:t xml:space="preserve"> the establishment and c</w:t>
      </w:r>
      <w:r w:rsidR="009C0FDA" w:rsidRPr="00114059">
        <w:rPr>
          <w:rFonts w:eastAsia="SimSun"/>
          <w:iCs/>
        </w:rPr>
        <w:t>onsolidation of the settlements</w:t>
      </w:r>
      <w:r w:rsidR="00CC5394" w:rsidRPr="00114059">
        <w:rPr>
          <w:bCs/>
        </w:rPr>
        <w:t xml:space="preserve">, and </w:t>
      </w:r>
      <w:r w:rsidR="009C0FDA" w:rsidRPr="00114059">
        <w:rPr>
          <w:bCs/>
        </w:rPr>
        <w:t xml:space="preserve">other violations and </w:t>
      </w:r>
      <w:r w:rsidR="00CC5394" w:rsidRPr="00114059">
        <w:rPr>
          <w:bCs/>
        </w:rPr>
        <w:t>forms of discrimination</w:t>
      </w:r>
      <w:r w:rsidRPr="00114059">
        <w:rPr>
          <w:bCs/>
        </w:rPr>
        <w:t>;</w:t>
      </w:r>
    </w:p>
    <w:p w14:paraId="7F843D68" w14:textId="77777777" w:rsidR="00061539" w:rsidRPr="00114059" w:rsidRDefault="00061539" w:rsidP="00061539">
      <w:pPr>
        <w:pStyle w:val="SingleTxtG"/>
        <w:ind w:firstLine="567"/>
        <w:rPr>
          <w:bCs/>
        </w:rPr>
      </w:pPr>
      <w:r w:rsidRPr="00114059">
        <w:rPr>
          <w:bCs/>
        </w:rPr>
        <w:t>(</w:t>
      </w:r>
      <w:r w:rsidRPr="00114059">
        <w:rPr>
          <w:bCs/>
          <w:i/>
        </w:rPr>
        <w:t>d</w:t>
      </w:r>
      <w:r w:rsidRPr="00114059">
        <w:rPr>
          <w:bCs/>
        </w:rPr>
        <w:t>)</w:t>
      </w:r>
      <w:r w:rsidRPr="00114059">
        <w:rPr>
          <w:bCs/>
        </w:rPr>
        <w:tab/>
        <w:t xml:space="preserve">To cease the requisition and </w:t>
      </w:r>
      <w:r w:rsidR="005C37C2" w:rsidRPr="00114059">
        <w:rPr>
          <w:bCs/>
        </w:rPr>
        <w:t xml:space="preserve">all </w:t>
      </w:r>
      <w:r w:rsidR="00280440" w:rsidRPr="00114059">
        <w:rPr>
          <w:bCs/>
        </w:rPr>
        <w:t xml:space="preserve">other forms of unlawful appropriation </w:t>
      </w:r>
      <w:r w:rsidRPr="00114059">
        <w:rPr>
          <w:bCs/>
        </w:rPr>
        <w:t>of Palestinian land</w:t>
      </w:r>
      <w:r w:rsidR="00280440" w:rsidRPr="00114059">
        <w:rPr>
          <w:bCs/>
        </w:rPr>
        <w:t>, including so-called “State land”,</w:t>
      </w:r>
      <w:r w:rsidRPr="00114059">
        <w:rPr>
          <w:bCs/>
        </w:rPr>
        <w:t xml:space="preserve"> and </w:t>
      </w:r>
      <w:r w:rsidR="00280440" w:rsidRPr="00114059">
        <w:rPr>
          <w:bCs/>
        </w:rPr>
        <w:t xml:space="preserve">its </w:t>
      </w:r>
      <w:r w:rsidRPr="00114059">
        <w:rPr>
          <w:bCs/>
        </w:rPr>
        <w:t>allocation for the establishment and expansion of settlements</w:t>
      </w:r>
      <w:r w:rsidR="00AE375C" w:rsidRPr="00114059">
        <w:rPr>
          <w:bCs/>
        </w:rPr>
        <w:t>,</w:t>
      </w:r>
      <w:r w:rsidRPr="00114059">
        <w:rPr>
          <w:bCs/>
        </w:rPr>
        <w:t xml:space="preserve"> and to halt the granting of benefits and incentives to settlements and settlers;</w:t>
      </w:r>
    </w:p>
    <w:p w14:paraId="0F34BE63" w14:textId="77777777" w:rsidR="00061539" w:rsidRPr="00114059" w:rsidRDefault="00061539" w:rsidP="00061539">
      <w:pPr>
        <w:pStyle w:val="SingleTxtG"/>
        <w:ind w:firstLine="567"/>
        <w:rPr>
          <w:bCs/>
        </w:rPr>
      </w:pPr>
      <w:r w:rsidRPr="00114059">
        <w:rPr>
          <w:bCs/>
        </w:rPr>
        <w:t>(</w:t>
      </w:r>
      <w:r w:rsidRPr="00114059">
        <w:rPr>
          <w:bCs/>
          <w:i/>
        </w:rPr>
        <w:t>e</w:t>
      </w:r>
      <w:r w:rsidRPr="00114059">
        <w:rPr>
          <w:bCs/>
        </w:rPr>
        <w:t>)</w:t>
      </w:r>
      <w:r w:rsidRPr="00114059">
        <w:rPr>
          <w:bCs/>
        </w:rPr>
        <w:tab/>
        <w:t>To put an end to all measures and policies resulting in the territorial fragmentation of the Occupied Palestinian Territory, including East Jerusalem, and which are isolating Palestinian communities into separate enclaves</w:t>
      </w:r>
      <w:r w:rsidR="00AB1878" w:rsidRPr="00114059">
        <w:rPr>
          <w:bCs/>
        </w:rPr>
        <w:t xml:space="preserve">, </w:t>
      </w:r>
      <w:r w:rsidR="00071AD0" w:rsidRPr="00114059">
        <w:rPr>
          <w:bCs/>
        </w:rPr>
        <w:t xml:space="preserve">and </w:t>
      </w:r>
      <w:r w:rsidR="00AB1878" w:rsidRPr="00114059">
        <w:rPr>
          <w:bCs/>
        </w:rPr>
        <w:t>changing the demographic composition of the Occupied Palestinian Territory</w:t>
      </w:r>
      <w:r w:rsidRPr="00114059">
        <w:rPr>
          <w:bCs/>
        </w:rPr>
        <w:t>;</w:t>
      </w:r>
    </w:p>
    <w:p w14:paraId="75789C53" w14:textId="77777777" w:rsidR="00061539" w:rsidRPr="00114059" w:rsidRDefault="00061539" w:rsidP="00061539">
      <w:pPr>
        <w:pStyle w:val="SingleTxtG"/>
        <w:ind w:firstLine="567"/>
      </w:pPr>
      <w:r w:rsidRPr="00114059">
        <w:rPr>
          <w:bCs/>
        </w:rPr>
        <w:t>(</w:t>
      </w:r>
      <w:r w:rsidRPr="00114059">
        <w:rPr>
          <w:bCs/>
          <w:i/>
        </w:rPr>
        <w:t>f</w:t>
      </w:r>
      <w:r w:rsidRPr="00114059">
        <w:rPr>
          <w:bCs/>
        </w:rPr>
        <w:t>)</w:t>
      </w:r>
      <w:r w:rsidRPr="00114059">
        <w:rPr>
          <w:bCs/>
        </w:rPr>
        <w:tab/>
        <w:t>T</w:t>
      </w:r>
      <w:r w:rsidRPr="00114059">
        <w:t>o take and implement serious measures, including confiscation of arms and enforcement of criminal sanctions, with the aim of ensuring full accountability for, and preventing, all acts of violence by Israeli settlers, and to take other measures to guarantee the safety and protection of Palestinian civilians and Palestinian properties in the Occupied Palestinian Territory, including East Jerusalem;</w:t>
      </w:r>
    </w:p>
    <w:p w14:paraId="2F121D7B" w14:textId="77777777" w:rsidR="00061539" w:rsidRPr="00114059" w:rsidRDefault="00061539" w:rsidP="00061539">
      <w:pPr>
        <w:pStyle w:val="SingleTxtG"/>
        <w:ind w:firstLine="567"/>
        <w:rPr>
          <w:bCs/>
        </w:rPr>
      </w:pPr>
      <w:r w:rsidRPr="00114059">
        <w:t>(</w:t>
      </w:r>
      <w:r w:rsidRPr="00114059">
        <w:rPr>
          <w:i/>
        </w:rPr>
        <w:t>g</w:t>
      </w:r>
      <w:r w:rsidRPr="00114059">
        <w:t>)</w:t>
      </w:r>
      <w:r w:rsidRPr="00114059">
        <w:tab/>
        <w:t xml:space="preserve">To </w:t>
      </w:r>
      <w:r w:rsidRPr="00114059">
        <w:rPr>
          <w:bCs/>
        </w:rPr>
        <w:t>bring a halt to all actions, including those perpetrated by Israeli settlers, harming the environment, including the dumping of all kinds of waste materials in the Occupied Palestinian Territory, including East Jerusalem, and in the occupied Syrian Golan, which gravely threaten their natural resources, namely water and land resources, and which pose an environmental, sanitation and health threat to the civilian populations;</w:t>
      </w:r>
    </w:p>
    <w:p w14:paraId="6501BEF0" w14:textId="77777777" w:rsidR="00061539" w:rsidRPr="00114059" w:rsidRDefault="00061539" w:rsidP="00061539">
      <w:pPr>
        <w:pStyle w:val="SingleTxtG"/>
        <w:ind w:firstLine="567"/>
        <w:rPr>
          <w:bCs/>
        </w:rPr>
      </w:pPr>
      <w:r w:rsidRPr="00114059">
        <w:rPr>
          <w:bCs/>
        </w:rPr>
        <w:t>(</w:t>
      </w:r>
      <w:r w:rsidRPr="00114059">
        <w:rPr>
          <w:bCs/>
          <w:i/>
        </w:rPr>
        <w:t>h</w:t>
      </w:r>
      <w:r w:rsidRPr="00114059">
        <w:rPr>
          <w:bCs/>
        </w:rPr>
        <w:t>)</w:t>
      </w:r>
      <w:r w:rsidRPr="00114059">
        <w:rPr>
          <w:bCs/>
        </w:rPr>
        <w:tab/>
        <w:t xml:space="preserve">To cease the exploitation, damage, cause of loss or depletion and endangerment of the natural resources </w:t>
      </w:r>
      <w:r w:rsidR="00AE375C" w:rsidRPr="00114059">
        <w:rPr>
          <w:bCs/>
        </w:rPr>
        <w:t xml:space="preserve">of </w:t>
      </w:r>
      <w:r w:rsidRPr="00114059">
        <w:rPr>
          <w:bCs/>
        </w:rPr>
        <w:t xml:space="preserve">the Occupied Palestinian Territory, including East Jerusalem, and </w:t>
      </w:r>
      <w:r w:rsidR="00FF1134" w:rsidRPr="00114059">
        <w:rPr>
          <w:bCs/>
        </w:rPr>
        <w:t xml:space="preserve">of </w:t>
      </w:r>
      <w:r w:rsidRPr="00114059">
        <w:rPr>
          <w:bCs/>
        </w:rPr>
        <w:t>the occupied Syrian Golan;</w:t>
      </w:r>
    </w:p>
    <w:p w14:paraId="0F06F36D" w14:textId="77777777" w:rsidR="00061539" w:rsidRPr="00114059" w:rsidRDefault="00061539" w:rsidP="00061539">
      <w:pPr>
        <w:pStyle w:val="SingleTxtG"/>
        <w:ind w:firstLine="567"/>
        <w:rPr>
          <w:iCs/>
        </w:rPr>
      </w:pPr>
      <w:r w:rsidRPr="00114059">
        <w:rPr>
          <w:iCs/>
        </w:rPr>
        <w:t>9.</w:t>
      </w:r>
      <w:r w:rsidRPr="00114059">
        <w:rPr>
          <w:iCs/>
        </w:rPr>
        <w:tab/>
      </w:r>
      <w:r w:rsidRPr="00114059">
        <w:rPr>
          <w:i/>
          <w:iCs/>
        </w:rPr>
        <w:t>Welcomes</w:t>
      </w:r>
      <w:r w:rsidRPr="00114059">
        <w:rPr>
          <w:iCs/>
        </w:rPr>
        <w:t xml:space="preserve"> the adoption of the European Union Guidelines on the eligibility of Israeli entities and their activities in the territories occupied by Israel since June 1967 for grants, prizes and financial instruments funded by the European Union from 2014 onwards;</w:t>
      </w:r>
    </w:p>
    <w:p w14:paraId="18B56834" w14:textId="77777777" w:rsidR="00061539" w:rsidRPr="00114059" w:rsidRDefault="00061539" w:rsidP="00061539">
      <w:pPr>
        <w:pStyle w:val="SingleTxtG"/>
        <w:ind w:firstLine="567"/>
        <w:rPr>
          <w:iCs/>
        </w:rPr>
      </w:pPr>
      <w:r w:rsidRPr="00114059">
        <w:rPr>
          <w:iCs/>
        </w:rPr>
        <w:t>10.</w:t>
      </w:r>
      <w:r w:rsidRPr="00114059">
        <w:rPr>
          <w:iCs/>
        </w:rPr>
        <w:tab/>
      </w:r>
      <w:r w:rsidRPr="00114059">
        <w:rPr>
          <w:i/>
          <w:iCs/>
        </w:rPr>
        <w:t xml:space="preserve">Encourages </w:t>
      </w:r>
      <w:r w:rsidRPr="00114059">
        <w:rPr>
          <w:iCs/>
        </w:rPr>
        <w:t>all States and international organizations to continue to actively pursue policies that ensure respect of their obligations under international law with regard to all illegal Israeli practices and measures in the Occupied Palestinian Territory, including East Jerusalem, particularly Israeli settlements;</w:t>
      </w:r>
    </w:p>
    <w:p w14:paraId="026B50EF" w14:textId="77777777" w:rsidR="00061539" w:rsidRPr="00114059" w:rsidRDefault="00061539" w:rsidP="00061539">
      <w:pPr>
        <w:pStyle w:val="SingleTxtG"/>
        <w:ind w:firstLine="567"/>
        <w:rPr>
          <w:iCs/>
        </w:rPr>
      </w:pPr>
      <w:r w:rsidRPr="00114059">
        <w:rPr>
          <w:iCs/>
        </w:rPr>
        <w:t>11.</w:t>
      </w:r>
      <w:r w:rsidRPr="00114059">
        <w:rPr>
          <w:iCs/>
        </w:rPr>
        <w:tab/>
      </w:r>
      <w:r w:rsidRPr="00114059">
        <w:rPr>
          <w:i/>
          <w:iCs/>
        </w:rPr>
        <w:t>Reminds</w:t>
      </w:r>
      <w:r w:rsidRPr="00114059">
        <w:rPr>
          <w:iCs/>
        </w:rPr>
        <w:t xml:space="preserve"> all States of their legal obligations as mentioned in the advisory opinion of the International Court of Justice of 9 July 2004 on the </w:t>
      </w:r>
      <w:r w:rsidR="00AE375C" w:rsidRPr="00114059">
        <w:rPr>
          <w:iCs/>
        </w:rPr>
        <w:t>l</w:t>
      </w:r>
      <w:r w:rsidRPr="00114059">
        <w:rPr>
          <w:iCs/>
        </w:rPr>
        <w:t xml:space="preserve">egal </w:t>
      </w:r>
      <w:r w:rsidR="00AE375C" w:rsidRPr="00114059">
        <w:rPr>
          <w:iCs/>
        </w:rPr>
        <w:t>c</w:t>
      </w:r>
      <w:r w:rsidRPr="00114059">
        <w:rPr>
          <w:iCs/>
        </w:rPr>
        <w:t xml:space="preserve">onsequences of the </w:t>
      </w:r>
      <w:r w:rsidR="00AE375C" w:rsidRPr="00114059">
        <w:rPr>
          <w:iCs/>
        </w:rPr>
        <w:t>c</w:t>
      </w:r>
      <w:r w:rsidRPr="00114059">
        <w:rPr>
          <w:iCs/>
        </w:rPr>
        <w:t xml:space="preserve">onstruction of a </w:t>
      </w:r>
      <w:r w:rsidR="00AE375C" w:rsidRPr="00114059">
        <w:rPr>
          <w:iCs/>
        </w:rPr>
        <w:t>w</w:t>
      </w:r>
      <w:r w:rsidRPr="00114059">
        <w:rPr>
          <w:iCs/>
        </w:rPr>
        <w:t>all in the Occupied Palestinian Territory</w:t>
      </w:r>
      <w:r w:rsidR="00DF5842" w:rsidRPr="00114059">
        <w:rPr>
          <w:iCs/>
        </w:rPr>
        <w:t xml:space="preserve">, including </w:t>
      </w:r>
      <w:r w:rsidR="009C0FDA" w:rsidRPr="00114059">
        <w:rPr>
          <w:rFonts w:eastAsia="SimSun"/>
          <w:iCs/>
        </w:rPr>
        <w:t>not to rec</w:t>
      </w:r>
      <w:r w:rsidR="002413DD" w:rsidRPr="00114059">
        <w:rPr>
          <w:rFonts w:eastAsia="SimSun"/>
          <w:iCs/>
        </w:rPr>
        <w:t>o</w:t>
      </w:r>
      <w:r w:rsidR="009C0FDA" w:rsidRPr="00114059">
        <w:rPr>
          <w:rFonts w:eastAsia="SimSun"/>
          <w:iCs/>
        </w:rPr>
        <w:t>g</w:t>
      </w:r>
      <w:r w:rsidR="002413DD" w:rsidRPr="00114059">
        <w:rPr>
          <w:rFonts w:eastAsia="SimSun"/>
          <w:iCs/>
        </w:rPr>
        <w:t>nise the illega</w:t>
      </w:r>
      <w:r w:rsidR="00DF5842" w:rsidRPr="00114059">
        <w:rPr>
          <w:rFonts w:eastAsia="SimSun"/>
          <w:iCs/>
        </w:rPr>
        <w:t>l situation resulting from the construction of the wall, not to render aid or assistance in maintain</w:t>
      </w:r>
      <w:r w:rsidR="00791248" w:rsidRPr="00114059">
        <w:rPr>
          <w:rFonts w:eastAsia="SimSun"/>
          <w:iCs/>
        </w:rPr>
        <w:t>ing the situation created by such</w:t>
      </w:r>
      <w:r w:rsidR="00DF5842" w:rsidRPr="00114059">
        <w:rPr>
          <w:rFonts w:eastAsia="SimSun"/>
          <w:iCs/>
        </w:rPr>
        <w:t xml:space="preserve"> construction, and to ensure compliance by Israel with international humanitarian law</w:t>
      </w:r>
      <w:r w:rsidR="009C4B82" w:rsidRPr="00114059">
        <w:rPr>
          <w:rFonts w:eastAsia="SimSun"/>
          <w:iCs/>
        </w:rPr>
        <w:t xml:space="preserve"> as embodied in the Fourth Geneva Convention relative to the Protection of Civilian Persons in Time of War of 12 August 1949</w:t>
      </w:r>
      <w:r w:rsidRPr="00114059">
        <w:rPr>
          <w:iCs/>
        </w:rPr>
        <w:t>;</w:t>
      </w:r>
    </w:p>
    <w:p w14:paraId="6A0CA395" w14:textId="77777777" w:rsidR="00061539" w:rsidRPr="00114059" w:rsidRDefault="00061539" w:rsidP="00061539">
      <w:pPr>
        <w:pStyle w:val="SingleTxtG"/>
        <w:ind w:firstLine="567"/>
      </w:pPr>
      <w:r w:rsidRPr="00114059">
        <w:t>12.</w:t>
      </w:r>
      <w:r w:rsidRPr="00114059">
        <w:tab/>
      </w:r>
      <w:r w:rsidRPr="00114059">
        <w:rPr>
          <w:i/>
        </w:rPr>
        <w:t>Urges</w:t>
      </w:r>
      <w:r w:rsidRPr="00114059">
        <w:t xml:space="preserve"> all States:</w:t>
      </w:r>
    </w:p>
    <w:p w14:paraId="01EC8545" w14:textId="77777777" w:rsidR="009D79D1" w:rsidRPr="00114059" w:rsidRDefault="00061539" w:rsidP="00FE569B">
      <w:pPr>
        <w:pStyle w:val="SingleTxtG"/>
        <w:ind w:firstLine="567"/>
        <w:rPr>
          <w:iCs/>
        </w:rPr>
      </w:pPr>
      <w:r w:rsidRPr="00114059">
        <w:t>(</w:t>
      </w:r>
      <w:r w:rsidRPr="00114059">
        <w:rPr>
          <w:i/>
        </w:rPr>
        <w:t>a</w:t>
      </w:r>
      <w:r w:rsidRPr="00114059">
        <w:t>)</w:t>
      </w:r>
      <w:r w:rsidRPr="00114059">
        <w:tab/>
        <w:t xml:space="preserve">To </w:t>
      </w:r>
      <w:r w:rsidRPr="00114059">
        <w:rPr>
          <w:iCs/>
        </w:rPr>
        <w:t>ensure that they are not taking actions that either recogni</w:t>
      </w:r>
      <w:r w:rsidR="00AE375C" w:rsidRPr="00114059">
        <w:rPr>
          <w:iCs/>
        </w:rPr>
        <w:t>z</w:t>
      </w:r>
      <w:r w:rsidRPr="00114059">
        <w:rPr>
          <w:iCs/>
        </w:rPr>
        <w:t>e or assist the expansion of settlements or construction of the wall in the Occupied Palestinian Territory, including East Jerusalem</w:t>
      </w:r>
      <w:r w:rsidR="00EB772B" w:rsidRPr="00114059">
        <w:rPr>
          <w:iCs/>
        </w:rPr>
        <w:t xml:space="preserve">, including </w:t>
      </w:r>
      <w:r w:rsidR="009C4B82" w:rsidRPr="00114059">
        <w:rPr>
          <w:iCs/>
        </w:rPr>
        <w:t>with regard to the issue of trading with settlements</w:t>
      </w:r>
      <w:r w:rsidR="009D79D1" w:rsidRPr="00114059">
        <w:rPr>
          <w:iCs/>
        </w:rPr>
        <w:t xml:space="preserve">, consistent with their obligations under international law; </w:t>
      </w:r>
    </w:p>
    <w:p w14:paraId="69C14F07" w14:textId="77777777" w:rsidR="006664CD" w:rsidRPr="00114059" w:rsidRDefault="00061539" w:rsidP="006664CD">
      <w:pPr>
        <w:pStyle w:val="SingleTxtG"/>
        <w:ind w:firstLine="567"/>
      </w:pPr>
      <w:r w:rsidRPr="00114059">
        <w:t>(</w:t>
      </w:r>
      <w:r w:rsidRPr="00114059">
        <w:rPr>
          <w:i/>
        </w:rPr>
        <w:t>b</w:t>
      </w:r>
      <w:r w:rsidRPr="00114059">
        <w:t>)</w:t>
      </w:r>
      <w:r w:rsidRPr="00114059">
        <w:tab/>
        <w:t>To implement the Guiding Principles on Business and Human Rights in relation to the Occupied Palestinian Territory, including East Jerusalem, and to take appropriate measures to help</w:t>
      </w:r>
      <w:r w:rsidR="00AE375C" w:rsidRPr="00114059">
        <w:t xml:space="preserve"> </w:t>
      </w:r>
      <w:r w:rsidRPr="00114059">
        <w:t>ensure that businesses domiciled in their territory and/or under their jurisdiction, including those owned or controlled by them, refrain from committing or contributing to gross human rights abuses of Palestinians, in accordance with the expected standard of conduct in the Guiding Principles and relevant international laws and standards</w:t>
      </w:r>
      <w:r w:rsidR="00C91F17" w:rsidRPr="00114059">
        <w:t>, by taking all necessary steps</w:t>
      </w:r>
      <w:r w:rsidRPr="00114059">
        <w:t>;</w:t>
      </w:r>
      <w:r w:rsidR="007B586F" w:rsidRPr="00114059">
        <w:t xml:space="preserve"> </w:t>
      </w:r>
    </w:p>
    <w:p w14:paraId="3801AAC5" w14:textId="77777777" w:rsidR="00763C74" w:rsidRPr="00114059" w:rsidRDefault="00061539" w:rsidP="00763C74">
      <w:pPr>
        <w:pStyle w:val="SingleTxtG"/>
        <w:ind w:firstLine="567"/>
      </w:pPr>
      <w:r w:rsidRPr="00114059">
        <w:t>(</w:t>
      </w:r>
      <w:r w:rsidRPr="00114059">
        <w:rPr>
          <w:i/>
        </w:rPr>
        <w:t>c</w:t>
      </w:r>
      <w:r w:rsidRPr="00114059">
        <w:t>)</w:t>
      </w:r>
      <w:r w:rsidR="006664CD" w:rsidRPr="00114059">
        <w:t xml:space="preserve"> </w:t>
      </w:r>
      <w:r w:rsidRPr="00114059">
        <w:t xml:space="preserve">To provide </w:t>
      </w:r>
      <w:r w:rsidR="00EB772B" w:rsidRPr="00114059">
        <w:t xml:space="preserve">guidance </w:t>
      </w:r>
      <w:r w:rsidRPr="00114059">
        <w:t>to individuals and businesses on the financial, reputational and legal risks,</w:t>
      </w:r>
      <w:r w:rsidR="00D1543A" w:rsidRPr="00114059">
        <w:t xml:space="preserve"> </w:t>
      </w:r>
      <w:r w:rsidR="00D1543A" w:rsidRPr="00114059">
        <w:rPr>
          <w:rFonts w:eastAsia="SimSun"/>
        </w:rPr>
        <w:t xml:space="preserve">including the possibility of liability for corporate </w:t>
      </w:r>
      <w:r w:rsidR="00C54E57" w:rsidRPr="00114059">
        <w:rPr>
          <w:rFonts w:eastAsia="SimSun"/>
        </w:rPr>
        <w:t>involvement in gross human rights abuses</w:t>
      </w:r>
      <w:r w:rsidR="008644F8" w:rsidRPr="00114059">
        <w:rPr>
          <w:rFonts w:eastAsia="SimSun"/>
        </w:rPr>
        <w:t xml:space="preserve"> </w:t>
      </w:r>
      <w:r w:rsidRPr="00114059">
        <w:t xml:space="preserve">as well as the abuses of the rights of individuals, of </w:t>
      </w:r>
      <w:r w:rsidR="00AE375C" w:rsidRPr="00114059">
        <w:t xml:space="preserve">becoming </w:t>
      </w:r>
      <w:r w:rsidRPr="00114059">
        <w:t xml:space="preserve">involved in settlement-related activities, including </w:t>
      </w:r>
      <w:r w:rsidR="006664CD" w:rsidRPr="00114059">
        <w:t xml:space="preserve">through financial transactions, investments, purchases, procurements, loans, the provision of services, as well as other </w:t>
      </w:r>
      <w:r w:rsidRPr="00114059">
        <w:t>economic and financial activities</w:t>
      </w:r>
      <w:r w:rsidR="006664CD" w:rsidRPr="00114059">
        <w:t xml:space="preserve"> in or benefiti</w:t>
      </w:r>
      <w:r w:rsidR="00763C74" w:rsidRPr="00114059">
        <w:t>ng Israeli settlements</w:t>
      </w:r>
      <w:r w:rsidRPr="00114059">
        <w:t>, to inform businesses of these risks in the formulation of their national action plans for the implementation of the Guiding Principles on Business and Human Rights</w:t>
      </w:r>
      <w:r w:rsidR="00AF648A" w:rsidRPr="00114059">
        <w:t xml:space="preserve">, and to </w:t>
      </w:r>
      <w:r w:rsidR="00AF648A" w:rsidRPr="00114059">
        <w:rPr>
          <w:rFonts w:eastAsia="SimSun"/>
        </w:rPr>
        <w:t>ensure that their policies, legislation, regulations and enforcement measures effectively address the heightened risks of operating a business in the Occupied Palestinian Territory, including East Jerusalem</w:t>
      </w:r>
      <w:r w:rsidRPr="00114059">
        <w:t>;</w:t>
      </w:r>
      <w:r w:rsidR="008644F8" w:rsidRPr="00114059">
        <w:t xml:space="preserve"> </w:t>
      </w:r>
    </w:p>
    <w:p w14:paraId="33010F46" w14:textId="77777777" w:rsidR="00AB1878" w:rsidRPr="00114059" w:rsidRDefault="00AB1878" w:rsidP="00061539">
      <w:pPr>
        <w:pStyle w:val="SingleTxtG"/>
        <w:ind w:firstLine="567"/>
      </w:pPr>
      <w:r w:rsidRPr="00114059">
        <w:t>(</w:t>
      </w:r>
      <w:r w:rsidR="00763C74" w:rsidRPr="00114059">
        <w:rPr>
          <w:i/>
        </w:rPr>
        <w:t>d</w:t>
      </w:r>
      <w:r w:rsidRPr="00114059">
        <w:t>)</w:t>
      </w:r>
      <w:r w:rsidRPr="00114059">
        <w:tab/>
        <w:t xml:space="preserve">To increase monitoring of settler violence, with </w:t>
      </w:r>
      <w:r w:rsidR="0019492F" w:rsidRPr="00114059">
        <w:t>a view to promoting accountability</w:t>
      </w:r>
      <w:r w:rsidR="00AC00B8" w:rsidRPr="00114059">
        <w:t>;</w:t>
      </w:r>
      <w:r w:rsidR="008644F8" w:rsidRPr="00114059">
        <w:t xml:space="preserve"> </w:t>
      </w:r>
    </w:p>
    <w:p w14:paraId="4AB3C3C0" w14:textId="77777777" w:rsidR="00061539" w:rsidRPr="00114059" w:rsidRDefault="00061539" w:rsidP="00061539">
      <w:pPr>
        <w:pStyle w:val="SingleTxtG"/>
        <w:ind w:firstLine="567"/>
      </w:pPr>
      <w:r w:rsidRPr="00114059">
        <w:t>13.</w:t>
      </w:r>
      <w:r w:rsidRPr="00114059">
        <w:tab/>
      </w:r>
      <w:r w:rsidR="00B92872" w:rsidRPr="00114059">
        <w:rPr>
          <w:i/>
        </w:rPr>
        <w:t>Calls upon</w:t>
      </w:r>
      <w:r w:rsidR="00B92872" w:rsidRPr="00114059">
        <w:t xml:space="preserve"> </w:t>
      </w:r>
      <w:r w:rsidRPr="00114059">
        <w:t xml:space="preserve">business enterprises to </w:t>
      </w:r>
      <w:r w:rsidR="00585ABF" w:rsidRPr="00114059">
        <w:t>adopt all necessary measures</w:t>
      </w:r>
      <w:r w:rsidRPr="00114059">
        <w:t xml:space="preserve"> to comply with the Guiding Principles on Business and Human Rights</w:t>
      </w:r>
      <w:r w:rsidR="006F3885" w:rsidRPr="00114059">
        <w:t xml:space="preserve"> and relevant international laws and standards</w:t>
      </w:r>
      <w:r w:rsidR="009251A8" w:rsidRPr="00114059">
        <w:t xml:space="preserve"> </w:t>
      </w:r>
      <w:r w:rsidR="00094980" w:rsidRPr="00114059">
        <w:t>with respect to their</w:t>
      </w:r>
      <w:r w:rsidRPr="00114059">
        <w:t xml:space="preserve"> activities </w:t>
      </w:r>
      <w:r w:rsidR="009251A8" w:rsidRPr="00114059">
        <w:t xml:space="preserve">in or in </w:t>
      </w:r>
      <w:r w:rsidRPr="00114059">
        <w:t>relati</w:t>
      </w:r>
      <w:r w:rsidR="009251A8" w:rsidRPr="00114059">
        <w:t>on</w:t>
      </w:r>
      <w:r w:rsidRPr="00114059">
        <w:t xml:space="preserve"> to </w:t>
      </w:r>
      <w:r w:rsidR="009251A8" w:rsidRPr="00114059">
        <w:t xml:space="preserve">the </w:t>
      </w:r>
      <w:r w:rsidRPr="00114059">
        <w:t xml:space="preserve">Israeli settlements and the </w:t>
      </w:r>
      <w:r w:rsidR="00AE375C" w:rsidRPr="00114059">
        <w:t>w</w:t>
      </w:r>
      <w:r w:rsidRPr="00114059">
        <w:t>all in the Occupied Palestinian Territory, including East Jerusalem,</w:t>
      </w:r>
      <w:r w:rsidR="00AE375C" w:rsidRPr="00114059">
        <w:t xml:space="preserve"> </w:t>
      </w:r>
      <w:r w:rsidR="00094980" w:rsidRPr="00114059">
        <w:t>to avoid</w:t>
      </w:r>
      <w:r w:rsidR="00470222" w:rsidRPr="00114059">
        <w:t xml:space="preserve"> the adverse impact of such activities on human rights and </w:t>
      </w:r>
      <w:r w:rsidRPr="00114059">
        <w:t>to av</w:t>
      </w:r>
      <w:r w:rsidR="00AE375C" w:rsidRPr="00114059">
        <w:t>oid</w:t>
      </w:r>
      <w:r w:rsidRPr="00114059">
        <w:t xml:space="preserve"> contributing to the establishment or maintenance of Israeli settlements or the exploitation of natural resources of the Occupied Palestinian Territory;</w:t>
      </w:r>
      <w:r w:rsidR="000E3CC8" w:rsidRPr="00114059">
        <w:t xml:space="preserve"> </w:t>
      </w:r>
    </w:p>
    <w:p w14:paraId="6D6975FD" w14:textId="77777777" w:rsidR="00061539" w:rsidRPr="00114059" w:rsidRDefault="00061539" w:rsidP="00061539">
      <w:pPr>
        <w:pStyle w:val="SingleTxtG"/>
        <w:ind w:firstLine="567"/>
        <w:rPr>
          <w:iCs/>
        </w:rPr>
      </w:pPr>
      <w:r w:rsidRPr="00114059">
        <w:rPr>
          <w:iCs/>
        </w:rPr>
        <w:t>14.</w:t>
      </w:r>
      <w:r w:rsidRPr="00114059">
        <w:rPr>
          <w:iCs/>
        </w:rPr>
        <w:tab/>
      </w:r>
      <w:r w:rsidRPr="00114059">
        <w:rPr>
          <w:i/>
          <w:iCs/>
        </w:rPr>
        <w:t>Requests</w:t>
      </w:r>
      <w:r w:rsidRPr="00114059">
        <w:rPr>
          <w:iCs/>
        </w:rPr>
        <w:t xml:space="preserve"> that all parties concerned, including United Nations bodies, implement and ensure the implementation of the recommendations contained in the report of the independent international fact-finding mission to investigate the implications of Israeli settlements on the civil, political, economic, social and cultural rights of the Palestinian people throughout the Occupied Palestinian Territory, including East Jerusalem, and endorsed by the Human Rights Council through its resolution 22/29, in accordance with their respective mandates;</w:t>
      </w:r>
    </w:p>
    <w:p w14:paraId="01E05191" w14:textId="77777777" w:rsidR="00061539" w:rsidRPr="00114059" w:rsidRDefault="00061539" w:rsidP="00061539">
      <w:pPr>
        <w:pStyle w:val="SingleTxtG"/>
        <w:ind w:firstLine="567"/>
        <w:rPr>
          <w:iCs/>
        </w:rPr>
      </w:pPr>
      <w:r w:rsidRPr="00114059">
        <w:rPr>
          <w:iCs/>
        </w:rPr>
        <w:t>15.</w:t>
      </w:r>
      <w:r w:rsidRPr="00114059">
        <w:rPr>
          <w:iCs/>
        </w:rPr>
        <w:tab/>
      </w:r>
      <w:r w:rsidRPr="00114059">
        <w:rPr>
          <w:i/>
          <w:iCs/>
        </w:rPr>
        <w:t>Calls upon</w:t>
      </w:r>
      <w:r w:rsidRPr="00114059">
        <w:rPr>
          <w:iCs/>
        </w:rPr>
        <w:t xml:space="preserve"> the relevant United Nations bodies to take all necessary measures and actions within their mandates to ensure full respect for and compliance with Human Rights Council resolution 17/4 of 16 June 2011, on the Guiding Principles on Business and Human Rights and other relevant international laws and standards, and to ensure the implementation of the United Nations “Protect, Respect and Remedy” Framework, which provides a global standard for upholding human rights in relation to business activities that are connected with Israeli settlements in the Occupied Palestinian Territory, including East Jerusalem;</w:t>
      </w:r>
    </w:p>
    <w:p w14:paraId="15A5D576" w14:textId="77777777" w:rsidR="003B7384" w:rsidRPr="00114059" w:rsidRDefault="00061539" w:rsidP="003B7384">
      <w:pPr>
        <w:pStyle w:val="SingleTxtG"/>
        <w:ind w:firstLine="567"/>
        <w:rPr>
          <w:iCs/>
        </w:rPr>
      </w:pPr>
      <w:r w:rsidRPr="00114059">
        <w:t>16.</w:t>
      </w:r>
      <w:r w:rsidRPr="00114059">
        <w:tab/>
      </w:r>
      <w:r w:rsidRPr="00114059">
        <w:rPr>
          <w:i/>
          <w:iCs/>
        </w:rPr>
        <w:t>Takes note</w:t>
      </w:r>
      <w:r w:rsidRPr="00114059">
        <w:rPr>
          <w:iCs/>
        </w:rPr>
        <w:t xml:space="preserve"> of the statement of the Working Group on the issue of human rights and transnational corporations and other business enterprises in follow-up to </w:t>
      </w:r>
      <w:r w:rsidR="00AE375C" w:rsidRPr="00114059">
        <w:rPr>
          <w:iCs/>
        </w:rPr>
        <w:t xml:space="preserve">Human Rights </w:t>
      </w:r>
      <w:r w:rsidRPr="00114059">
        <w:rPr>
          <w:iCs/>
        </w:rPr>
        <w:t>Council resolution 22/29;</w:t>
      </w:r>
    </w:p>
    <w:p w14:paraId="15FAC2AC" w14:textId="77777777" w:rsidR="003B7384" w:rsidRPr="00114059" w:rsidRDefault="00D865C3" w:rsidP="004244C8">
      <w:pPr>
        <w:pStyle w:val="SingleTxtG"/>
        <w:ind w:firstLine="567"/>
      </w:pPr>
      <w:r w:rsidRPr="00114059">
        <w:rPr>
          <w:iCs/>
        </w:rPr>
        <w:t>17. Requests the High Commis</w:t>
      </w:r>
      <w:r w:rsidR="00D76580" w:rsidRPr="00114059">
        <w:rPr>
          <w:iCs/>
        </w:rPr>
        <w:t>s</w:t>
      </w:r>
      <w:r w:rsidRPr="00114059">
        <w:rPr>
          <w:iCs/>
        </w:rPr>
        <w:t xml:space="preserve">ioner, in close consultation with the Working Group on Business and Human Rights, </w:t>
      </w:r>
      <w:r w:rsidR="004244C8" w:rsidRPr="00114059">
        <w:rPr>
          <w:iCs/>
        </w:rPr>
        <w:t xml:space="preserve">in follow up to the report of the independent international fact-finding mission to investigate the implications of the Israeli settlements on the civil, political, economic, social and cultural rights of the Palestinian people throughout the Occupied Palestinian Territory, including East Jerusalem, </w:t>
      </w:r>
      <w:r w:rsidR="00763C74" w:rsidRPr="00114059">
        <w:rPr>
          <w:iCs/>
        </w:rPr>
        <w:t xml:space="preserve">and as a necessary step </w:t>
      </w:r>
      <w:r w:rsidR="009401AA" w:rsidRPr="00114059">
        <w:rPr>
          <w:iCs/>
        </w:rPr>
        <w:t>for the implementation of</w:t>
      </w:r>
      <w:r w:rsidR="00763C74" w:rsidRPr="00114059">
        <w:rPr>
          <w:iCs/>
        </w:rPr>
        <w:t xml:space="preserve"> recommendation 117 thereof, </w:t>
      </w:r>
      <w:r w:rsidR="00094980" w:rsidRPr="00114059">
        <w:rPr>
          <w:iCs/>
        </w:rPr>
        <w:t xml:space="preserve">to produce </w:t>
      </w:r>
      <w:r w:rsidR="00EF4187" w:rsidRPr="00114059">
        <w:rPr>
          <w:iCs/>
        </w:rPr>
        <w:t>a</w:t>
      </w:r>
      <w:r w:rsidR="00757267" w:rsidRPr="00114059">
        <w:rPr>
          <w:iCs/>
        </w:rPr>
        <w:t xml:space="preserve"> </w:t>
      </w:r>
      <w:r w:rsidR="009401AA" w:rsidRPr="00114059">
        <w:rPr>
          <w:iCs/>
        </w:rPr>
        <w:t>database</w:t>
      </w:r>
      <w:r w:rsidR="00EF4187" w:rsidRPr="00114059">
        <w:rPr>
          <w:iCs/>
        </w:rPr>
        <w:t xml:space="preserve"> of</w:t>
      </w:r>
      <w:r w:rsidR="00757267" w:rsidRPr="00114059">
        <w:rPr>
          <w:iCs/>
        </w:rPr>
        <w:t xml:space="preserve"> </w:t>
      </w:r>
      <w:r w:rsidRPr="00114059">
        <w:rPr>
          <w:iCs/>
        </w:rPr>
        <w:t>all business enterprises involved in</w:t>
      </w:r>
      <w:r w:rsidR="00757267" w:rsidRPr="00114059">
        <w:rPr>
          <w:iCs/>
        </w:rPr>
        <w:t xml:space="preserve"> the activities</w:t>
      </w:r>
      <w:r w:rsidR="004244C8" w:rsidRPr="00114059">
        <w:rPr>
          <w:iCs/>
        </w:rPr>
        <w:t xml:space="preserve"> detailed in paragraph 96 of the aforementioned report</w:t>
      </w:r>
      <w:r w:rsidR="00757267" w:rsidRPr="00114059">
        <w:rPr>
          <w:iCs/>
        </w:rPr>
        <w:t xml:space="preserve">, </w:t>
      </w:r>
      <w:r w:rsidR="004244C8" w:rsidRPr="00114059">
        <w:rPr>
          <w:iCs/>
        </w:rPr>
        <w:t xml:space="preserve">to be updated annually, </w:t>
      </w:r>
      <w:r w:rsidR="00757267" w:rsidRPr="00114059">
        <w:rPr>
          <w:iCs/>
        </w:rPr>
        <w:t xml:space="preserve">and to report </w:t>
      </w:r>
      <w:r w:rsidR="00A64102" w:rsidRPr="00114059">
        <w:rPr>
          <w:iCs/>
        </w:rPr>
        <w:t xml:space="preserve">it </w:t>
      </w:r>
      <w:r w:rsidR="00757267" w:rsidRPr="00114059">
        <w:rPr>
          <w:iCs/>
        </w:rPr>
        <w:t>to the Counc</w:t>
      </w:r>
      <w:r w:rsidR="00920EDE" w:rsidRPr="00114059">
        <w:rPr>
          <w:iCs/>
        </w:rPr>
        <w:t>il at its thirty-</w:t>
      </w:r>
      <w:r w:rsidR="00DB7AC0" w:rsidRPr="00114059">
        <w:rPr>
          <w:iCs/>
        </w:rPr>
        <w:t xml:space="preserve">fourth </w:t>
      </w:r>
      <w:r w:rsidR="00757267" w:rsidRPr="00114059">
        <w:rPr>
          <w:iCs/>
        </w:rPr>
        <w:t>session</w:t>
      </w:r>
      <w:r w:rsidR="00A64102" w:rsidRPr="00114059">
        <w:rPr>
          <w:iCs/>
        </w:rPr>
        <w:t>;</w:t>
      </w:r>
      <w:r w:rsidR="000E3CC8" w:rsidRPr="00114059">
        <w:rPr>
          <w:iCs/>
        </w:rPr>
        <w:t xml:space="preserve"> </w:t>
      </w:r>
      <w:r w:rsidRPr="00114059">
        <w:rPr>
          <w:iCs/>
        </w:rPr>
        <w:t xml:space="preserve"> </w:t>
      </w:r>
    </w:p>
    <w:p w14:paraId="500B10CF" w14:textId="77777777" w:rsidR="00061539" w:rsidRPr="00114059" w:rsidRDefault="00061539" w:rsidP="00061539">
      <w:pPr>
        <w:pStyle w:val="SingleTxtG"/>
        <w:ind w:firstLine="567"/>
      </w:pPr>
      <w:r w:rsidRPr="00114059">
        <w:t>18.</w:t>
      </w:r>
      <w:r w:rsidRPr="00114059">
        <w:tab/>
      </w:r>
      <w:r w:rsidRPr="00114059">
        <w:rPr>
          <w:i/>
        </w:rPr>
        <w:t>Requests</w:t>
      </w:r>
      <w:r w:rsidRPr="00114059">
        <w:t xml:space="preserve"> the Secretary-General to report on the implementation of the present resolution</w:t>
      </w:r>
      <w:r w:rsidR="00981199" w:rsidRPr="00114059">
        <w:t xml:space="preserve">, </w:t>
      </w:r>
      <w:r w:rsidR="009C0DA9" w:rsidRPr="00114059">
        <w:t xml:space="preserve">with particular emphasis on </w:t>
      </w:r>
      <w:r w:rsidR="007976E1" w:rsidRPr="00114059">
        <w:t>the</w:t>
      </w:r>
      <w:r w:rsidR="009C0DA9" w:rsidRPr="00114059">
        <w:t xml:space="preserve"> human rights and international law violations</w:t>
      </w:r>
      <w:r w:rsidR="007976E1" w:rsidRPr="00114059">
        <w:t xml:space="preserve"> involved in the production of settlement goods</w:t>
      </w:r>
      <w:r w:rsidR="009C0DA9" w:rsidRPr="00114059">
        <w:t xml:space="preserve">, and the </w:t>
      </w:r>
      <w:r w:rsidR="00EF4187" w:rsidRPr="00114059">
        <w:t xml:space="preserve">relationship between trade in these goods and the </w:t>
      </w:r>
      <w:r w:rsidR="009C0DA9" w:rsidRPr="00114059">
        <w:t xml:space="preserve">maintenance and economic growth of </w:t>
      </w:r>
      <w:r w:rsidR="007976E1" w:rsidRPr="00114059">
        <w:t>settlement</w:t>
      </w:r>
      <w:r w:rsidR="001372AA" w:rsidRPr="00114059">
        <w:t>s</w:t>
      </w:r>
      <w:r w:rsidR="00981199" w:rsidRPr="00114059">
        <w:t xml:space="preserve">, </w:t>
      </w:r>
      <w:r w:rsidRPr="00114059">
        <w:t>at its thirty-</w:t>
      </w:r>
      <w:r w:rsidR="005F623D" w:rsidRPr="00114059">
        <w:t xml:space="preserve">fourth </w:t>
      </w:r>
      <w:r w:rsidRPr="00114059">
        <w:t>session;</w:t>
      </w:r>
    </w:p>
    <w:p w14:paraId="5390A43F" w14:textId="77777777" w:rsidR="00061539" w:rsidRPr="00114059" w:rsidRDefault="00061539" w:rsidP="00061539">
      <w:pPr>
        <w:pStyle w:val="SingleTxtG"/>
        <w:ind w:firstLine="567"/>
      </w:pPr>
      <w:r w:rsidRPr="00114059">
        <w:t>19.</w:t>
      </w:r>
      <w:r w:rsidRPr="00114059">
        <w:tab/>
      </w:r>
      <w:r w:rsidRPr="00114059">
        <w:rPr>
          <w:i/>
          <w:iCs/>
        </w:rPr>
        <w:t xml:space="preserve">Decides </w:t>
      </w:r>
      <w:r w:rsidRPr="00114059">
        <w:t>to remain seized of the matter.</w:t>
      </w:r>
    </w:p>
    <w:p w14:paraId="6EF9F6ED" w14:textId="77777777" w:rsidR="0090670D" w:rsidRPr="00114059" w:rsidRDefault="00011BE7" w:rsidP="00590E84">
      <w:pPr>
        <w:pStyle w:val="SingleTxtG"/>
        <w:spacing w:before="240" w:after="0"/>
        <w:jc w:val="center"/>
        <w:rPr>
          <w:rFonts w:eastAsia="SimSun"/>
          <w:u w:val="single"/>
        </w:rPr>
      </w:pPr>
      <w:r w:rsidRPr="00114059">
        <w:rPr>
          <w:rFonts w:eastAsia="SimSun"/>
          <w:u w:val="single"/>
          <w:lang w:eastAsia="ar-SA"/>
        </w:rPr>
        <w:tab/>
      </w:r>
    </w:p>
    <w:sectPr w:rsidR="0090670D" w:rsidRPr="00114059" w:rsidSect="001D18FE">
      <w:headerReference w:type="even" r:id="rId11"/>
      <w:headerReference w:type="default" r:id="rId12"/>
      <w:footerReference w:type="even" r:id="rId13"/>
      <w:footerReference w:type="defaul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849BC" w14:textId="77777777" w:rsidR="009A033D" w:rsidRDefault="009A033D"/>
  </w:endnote>
  <w:endnote w:type="continuationSeparator" w:id="0">
    <w:p w14:paraId="4B3F2FFA" w14:textId="77777777" w:rsidR="009A033D" w:rsidRDefault="009A033D"/>
  </w:endnote>
  <w:endnote w:type="continuationNotice" w:id="1">
    <w:p w14:paraId="3FF25830" w14:textId="77777777" w:rsidR="009A033D" w:rsidRDefault="009A0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FC4F6" w14:textId="77777777" w:rsidR="00B467EA" w:rsidRPr="001D18FE" w:rsidRDefault="008B2798" w:rsidP="001D18FE">
    <w:pPr>
      <w:pStyle w:val="Footer"/>
      <w:tabs>
        <w:tab w:val="right" w:pos="9638"/>
      </w:tabs>
    </w:pPr>
    <w:r>
      <w:fldChar w:fldCharType="begin"/>
    </w:r>
    <w:r>
      <w:instrText xml:space="preserve"> PAGE  \* MERGEFORMAT </w:instrText>
    </w:r>
    <w:r>
      <w:fldChar w:fldCharType="separate"/>
    </w:r>
    <w:r w:rsidR="00F12D35" w:rsidRPr="00F12D35">
      <w:rPr>
        <w:b/>
        <w:noProof/>
        <w:sz w:val="18"/>
      </w:rPr>
      <w:t>10</w:t>
    </w:r>
    <w:r>
      <w:rPr>
        <w:b/>
        <w:noProof/>
        <w:sz w:val="18"/>
      </w:rPr>
      <w:fldChar w:fldCharType="end"/>
    </w:r>
    <w:r w:rsidR="00B467EA">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04C75" w14:textId="77777777" w:rsidR="00B467EA" w:rsidRPr="001D18FE" w:rsidRDefault="00B467EA" w:rsidP="001D18FE">
    <w:pPr>
      <w:pStyle w:val="Footer"/>
      <w:tabs>
        <w:tab w:val="right" w:pos="9638"/>
      </w:tabs>
      <w:rPr>
        <w:b/>
        <w:sz w:val="18"/>
      </w:rPr>
    </w:pPr>
    <w:r>
      <w:tab/>
    </w:r>
    <w:r w:rsidR="008B2798">
      <w:fldChar w:fldCharType="begin"/>
    </w:r>
    <w:r w:rsidR="008B2798">
      <w:instrText xml:space="preserve"> PAGE  \* MERGEFORMAT </w:instrText>
    </w:r>
    <w:r w:rsidR="008B2798">
      <w:fldChar w:fldCharType="separate"/>
    </w:r>
    <w:r w:rsidR="00F12D35" w:rsidRPr="00F12D35">
      <w:rPr>
        <w:b/>
        <w:noProof/>
        <w:sz w:val="18"/>
      </w:rPr>
      <w:t>9</w:t>
    </w:r>
    <w:r w:rsidR="008B2798">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2CD79" w14:textId="77777777" w:rsidR="009A033D" w:rsidRPr="000B175B" w:rsidRDefault="009A033D" w:rsidP="000B175B">
      <w:pPr>
        <w:tabs>
          <w:tab w:val="right" w:pos="2155"/>
        </w:tabs>
        <w:spacing w:after="80"/>
        <w:ind w:left="680"/>
        <w:rPr>
          <w:u w:val="single"/>
        </w:rPr>
      </w:pPr>
      <w:r>
        <w:rPr>
          <w:u w:val="single"/>
        </w:rPr>
        <w:tab/>
      </w:r>
    </w:p>
  </w:footnote>
  <w:footnote w:type="continuationSeparator" w:id="0">
    <w:p w14:paraId="2BA9F699" w14:textId="77777777" w:rsidR="009A033D" w:rsidRPr="00FC68B7" w:rsidRDefault="009A033D" w:rsidP="00FC68B7">
      <w:pPr>
        <w:tabs>
          <w:tab w:val="left" w:pos="2155"/>
        </w:tabs>
        <w:spacing w:after="80"/>
        <w:ind w:left="680"/>
        <w:rPr>
          <w:u w:val="single"/>
        </w:rPr>
      </w:pPr>
      <w:r>
        <w:rPr>
          <w:u w:val="single"/>
        </w:rPr>
        <w:tab/>
      </w:r>
    </w:p>
  </w:footnote>
  <w:footnote w:type="continuationNotice" w:id="1">
    <w:p w14:paraId="12FE7A30" w14:textId="77777777" w:rsidR="009A033D" w:rsidRDefault="009A033D"/>
  </w:footnote>
  <w:footnote w:id="2">
    <w:p w14:paraId="56B54F38" w14:textId="77777777" w:rsidR="00B467EA" w:rsidRPr="00C8201E" w:rsidRDefault="00B467EA">
      <w:pPr>
        <w:pStyle w:val="FootnoteText"/>
        <w:rPr>
          <w:lang w:val="en-US"/>
        </w:rPr>
      </w:pPr>
      <w:r>
        <w:tab/>
      </w:r>
      <w:r>
        <w:rPr>
          <w:rStyle w:val="FootnoteReference"/>
        </w:rPr>
        <w:footnoteRef/>
      </w:r>
      <w:r>
        <w:tab/>
        <w:t>A/HRC/22/63.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79BFC" w14:textId="77777777" w:rsidR="00B467EA" w:rsidRPr="001D18FE" w:rsidRDefault="00B467EA">
    <w:pPr>
      <w:pStyle w:val="Header"/>
    </w:pPr>
    <w:r>
      <w:t>A/HRC/</w:t>
    </w:r>
    <w:r w:rsidR="006B70B1">
      <w:t>31</w:t>
    </w:r>
    <w:r>
      <w:t>/L.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22BA7" w14:textId="77777777" w:rsidR="00B467EA" w:rsidRPr="001D18FE" w:rsidRDefault="00B467EA" w:rsidP="001D18FE">
    <w:pPr>
      <w:pStyle w:val="Header"/>
      <w:jc w:val="right"/>
    </w:pPr>
    <w:r>
      <w:t>A/HRC/</w:t>
    </w:r>
    <w:r w:rsidR="006B70B1">
      <w:t>31</w:t>
    </w:r>
    <w:r>
      <w:t>/L.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FE"/>
    <w:rsid w:val="00007F7F"/>
    <w:rsid w:val="00011BE7"/>
    <w:rsid w:val="00022DB5"/>
    <w:rsid w:val="00030F2B"/>
    <w:rsid w:val="0003763E"/>
    <w:rsid w:val="000403D1"/>
    <w:rsid w:val="00040A77"/>
    <w:rsid w:val="000449AA"/>
    <w:rsid w:val="00050F6B"/>
    <w:rsid w:val="000515D6"/>
    <w:rsid w:val="00061539"/>
    <w:rsid w:val="00071AD0"/>
    <w:rsid w:val="00072C8C"/>
    <w:rsid w:val="00073E70"/>
    <w:rsid w:val="00077246"/>
    <w:rsid w:val="000811CF"/>
    <w:rsid w:val="000876EB"/>
    <w:rsid w:val="00091419"/>
    <w:rsid w:val="000931C0"/>
    <w:rsid w:val="00094980"/>
    <w:rsid w:val="000B175B"/>
    <w:rsid w:val="000B193B"/>
    <w:rsid w:val="000B3A0F"/>
    <w:rsid w:val="000B4A3B"/>
    <w:rsid w:val="000C6BF8"/>
    <w:rsid w:val="000D1851"/>
    <w:rsid w:val="000E0415"/>
    <w:rsid w:val="000E3CC8"/>
    <w:rsid w:val="00102165"/>
    <w:rsid w:val="001022C8"/>
    <w:rsid w:val="001119A2"/>
    <w:rsid w:val="00114059"/>
    <w:rsid w:val="00120DE6"/>
    <w:rsid w:val="001272ED"/>
    <w:rsid w:val="001369C7"/>
    <w:rsid w:val="001372AA"/>
    <w:rsid w:val="00146D32"/>
    <w:rsid w:val="001509BA"/>
    <w:rsid w:val="0015573C"/>
    <w:rsid w:val="001604EC"/>
    <w:rsid w:val="00165BA6"/>
    <w:rsid w:val="00190414"/>
    <w:rsid w:val="0019492F"/>
    <w:rsid w:val="00194FC8"/>
    <w:rsid w:val="001962AD"/>
    <w:rsid w:val="001B27F8"/>
    <w:rsid w:val="001B4B04"/>
    <w:rsid w:val="001B749E"/>
    <w:rsid w:val="001C6663"/>
    <w:rsid w:val="001C7895"/>
    <w:rsid w:val="001D1674"/>
    <w:rsid w:val="001D18FE"/>
    <w:rsid w:val="001D1C9F"/>
    <w:rsid w:val="001D26DF"/>
    <w:rsid w:val="001E2790"/>
    <w:rsid w:val="001E3D8D"/>
    <w:rsid w:val="001F63E2"/>
    <w:rsid w:val="00211E0B"/>
    <w:rsid w:val="00211E72"/>
    <w:rsid w:val="002122B8"/>
    <w:rsid w:val="00214047"/>
    <w:rsid w:val="0022130F"/>
    <w:rsid w:val="00237785"/>
    <w:rsid w:val="002410DD"/>
    <w:rsid w:val="002413DD"/>
    <w:rsid w:val="00241466"/>
    <w:rsid w:val="00247C0B"/>
    <w:rsid w:val="00251171"/>
    <w:rsid w:val="00253D58"/>
    <w:rsid w:val="002642E2"/>
    <w:rsid w:val="0027725F"/>
    <w:rsid w:val="00280440"/>
    <w:rsid w:val="00283330"/>
    <w:rsid w:val="00287D9C"/>
    <w:rsid w:val="002C155F"/>
    <w:rsid w:val="002C21F0"/>
    <w:rsid w:val="002C5F7C"/>
    <w:rsid w:val="002C7FF5"/>
    <w:rsid w:val="002D63FE"/>
    <w:rsid w:val="002F46D8"/>
    <w:rsid w:val="00305FCB"/>
    <w:rsid w:val="003107FA"/>
    <w:rsid w:val="00311CEF"/>
    <w:rsid w:val="00312DE9"/>
    <w:rsid w:val="003153F8"/>
    <w:rsid w:val="00315EB9"/>
    <w:rsid w:val="003229D8"/>
    <w:rsid w:val="0032351E"/>
    <w:rsid w:val="003314D1"/>
    <w:rsid w:val="0033299E"/>
    <w:rsid w:val="00333ECD"/>
    <w:rsid w:val="00335A2F"/>
    <w:rsid w:val="00341937"/>
    <w:rsid w:val="00347C66"/>
    <w:rsid w:val="00347FBB"/>
    <w:rsid w:val="0035213A"/>
    <w:rsid w:val="0035580D"/>
    <w:rsid w:val="00372AA9"/>
    <w:rsid w:val="003856E0"/>
    <w:rsid w:val="0039277A"/>
    <w:rsid w:val="00395EE6"/>
    <w:rsid w:val="003972E0"/>
    <w:rsid w:val="003975ED"/>
    <w:rsid w:val="003A18C3"/>
    <w:rsid w:val="003A3EE0"/>
    <w:rsid w:val="003A6A7D"/>
    <w:rsid w:val="003B3AB3"/>
    <w:rsid w:val="003B7384"/>
    <w:rsid w:val="003B769A"/>
    <w:rsid w:val="003B79C6"/>
    <w:rsid w:val="003C2CC4"/>
    <w:rsid w:val="003D28AD"/>
    <w:rsid w:val="003D47A6"/>
    <w:rsid w:val="003D4B23"/>
    <w:rsid w:val="003D4D00"/>
    <w:rsid w:val="003F2CC4"/>
    <w:rsid w:val="003F748B"/>
    <w:rsid w:val="00415896"/>
    <w:rsid w:val="004244C8"/>
    <w:rsid w:val="00424C80"/>
    <w:rsid w:val="00427FDA"/>
    <w:rsid w:val="004325CB"/>
    <w:rsid w:val="00440BEA"/>
    <w:rsid w:val="0044503A"/>
    <w:rsid w:val="004460DA"/>
    <w:rsid w:val="00446DE4"/>
    <w:rsid w:val="00447761"/>
    <w:rsid w:val="00447FCF"/>
    <w:rsid w:val="00451EC3"/>
    <w:rsid w:val="00455C08"/>
    <w:rsid w:val="004566BF"/>
    <w:rsid w:val="004573A8"/>
    <w:rsid w:val="00457F70"/>
    <w:rsid w:val="00470222"/>
    <w:rsid w:val="004721B1"/>
    <w:rsid w:val="00476345"/>
    <w:rsid w:val="00477BA5"/>
    <w:rsid w:val="004859EC"/>
    <w:rsid w:val="00496A15"/>
    <w:rsid w:val="004B75D2"/>
    <w:rsid w:val="004B7989"/>
    <w:rsid w:val="004C6E3A"/>
    <w:rsid w:val="004D1140"/>
    <w:rsid w:val="004D679A"/>
    <w:rsid w:val="004E5E4F"/>
    <w:rsid w:val="004F0EFE"/>
    <w:rsid w:val="004F55ED"/>
    <w:rsid w:val="005077A1"/>
    <w:rsid w:val="00510DC7"/>
    <w:rsid w:val="0052176C"/>
    <w:rsid w:val="005261E5"/>
    <w:rsid w:val="00530419"/>
    <w:rsid w:val="0053065D"/>
    <w:rsid w:val="00530DC2"/>
    <w:rsid w:val="005340B9"/>
    <w:rsid w:val="005420F2"/>
    <w:rsid w:val="00542574"/>
    <w:rsid w:val="005436AB"/>
    <w:rsid w:val="0054583A"/>
    <w:rsid w:val="00546DBF"/>
    <w:rsid w:val="00552E7C"/>
    <w:rsid w:val="00553D76"/>
    <w:rsid w:val="005552B5"/>
    <w:rsid w:val="00560BEB"/>
    <w:rsid w:val="0056117B"/>
    <w:rsid w:val="00563428"/>
    <w:rsid w:val="00571365"/>
    <w:rsid w:val="005772F5"/>
    <w:rsid w:val="00580E38"/>
    <w:rsid w:val="00580ED1"/>
    <w:rsid w:val="00581DDA"/>
    <w:rsid w:val="00585ABF"/>
    <w:rsid w:val="00590E84"/>
    <w:rsid w:val="0059100A"/>
    <w:rsid w:val="005A6CB6"/>
    <w:rsid w:val="005B3DB3"/>
    <w:rsid w:val="005B442B"/>
    <w:rsid w:val="005B6E48"/>
    <w:rsid w:val="005C37C2"/>
    <w:rsid w:val="005C4F96"/>
    <w:rsid w:val="005D0C33"/>
    <w:rsid w:val="005E1712"/>
    <w:rsid w:val="005E70BD"/>
    <w:rsid w:val="005F39E8"/>
    <w:rsid w:val="005F623D"/>
    <w:rsid w:val="006046DC"/>
    <w:rsid w:val="0060530A"/>
    <w:rsid w:val="00607FD8"/>
    <w:rsid w:val="00611FC4"/>
    <w:rsid w:val="00613569"/>
    <w:rsid w:val="0061528C"/>
    <w:rsid w:val="006176FB"/>
    <w:rsid w:val="00640B26"/>
    <w:rsid w:val="00641DE8"/>
    <w:rsid w:val="006509C3"/>
    <w:rsid w:val="0065503E"/>
    <w:rsid w:val="006664CD"/>
    <w:rsid w:val="0066703F"/>
    <w:rsid w:val="00670741"/>
    <w:rsid w:val="0067117B"/>
    <w:rsid w:val="006751B9"/>
    <w:rsid w:val="006817B6"/>
    <w:rsid w:val="00681890"/>
    <w:rsid w:val="00686332"/>
    <w:rsid w:val="00690F34"/>
    <w:rsid w:val="00691F08"/>
    <w:rsid w:val="00696B58"/>
    <w:rsid w:val="00696BD6"/>
    <w:rsid w:val="006A033A"/>
    <w:rsid w:val="006A6B9D"/>
    <w:rsid w:val="006A7392"/>
    <w:rsid w:val="006B3189"/>
    <w:rsid w:val="006B70B1"/>
    <w:rsid w:val="006B7A51"/>
    <w:rsid w:val="006B7D65"/>
    <w:rsid w:val="006B7ED5"/>
    <w:rsid w:val="006D0DEE"/>
    <w:rsid w:val="006D6DA6"/>
    <w:rsid w:val="006D78FD"/>
    <w:rsid w:val="006E564B"/>
    <w:rsid w:val="006F13F0"/>
    <w:rsid w:val="006F3885"/>
    <w:rsid w:val="006F4A3B"/>
    <w:rsid w:val="006F5035"/>
    <w:rsid w:val="007065EB"/>
    <w:rsid w:val="007177A8"/>
    <w:rsid w:val="00720183"/>
    <w:rsid w:val="00721653"/>
    <w:rsid w:val="0072632A"/>
    <w:rsid w:val="00734F14"/>
    <w:rsid w:val="0073516F"/>
    <w:rsid w:val="0074200B"/>
    <w:rsid w:val="00746484"/>
    <w:rsid w:val="0075511A"/>
    <w:rsid w:val="00757267"/>
    <w:rsid w:val="007600E1"/>
    <w:rsid w:val="00763C74"/>
    <w:rsid w:val="00774AD6"/>
    <w:rsid w:val="00791248"/>
    <w:rsid w:val="007926ED"/>
    <w:rsid w:val="007937E8"/>
    <w:rsid w:val="007976E1"/>
    <w:rsid w:val="007A6296"/>
    <w:rsid w:val="007B586F"/>
    <w:rsid w:val="007B6BA5"/>
    <w:rsid w:val="007C1B62"/>
    <w:rsid w:val="007C2C0D"/>
    <w:rsid w:val="007C3390"/>
    <w:rsid w:val="007C398E"/>
    <w:rsid w:val="007C3B1B"/>
    <w:rsid w:val="007C4F4B"/>
    <w:rsid w:val="007D2CDC"/>
    <w:rsid w:val="007D5327"/>
    <w:rsid w:val="007F6611"/>
    <w:rsid w:val="008155C3"/>
    <w:rsid w:val="008175E9"/>
    <w:rsid w:val="0082243E"/>
    <w:rsid w:val="008227B5"/>
    <w:rsid w:val="008242D7"/>
    <w:rsid w:val="00845878"/>
    <w:rsid w:val="00845E3A"/>
    <w:rsid w:val="0084751E"/>
    <w:rsid w:val="00856CD2"/>
    <w:rsid w:val="00861BC6"/>
    <w:rsid w:val="0086397D"/>
    <w:rsid w:val="008644F8"/>
    <w:rsid w:val="00870C61"/>
    <w:rsid w:val="00871897"/>
    <w:rsid w:val="00871FD5"/>
    <w:rsid w:val="00880C54"/>
    <w:rsid w:val="00895EBF"/>
    <w:rsid w:val="008979B1"/>
    <w:rsid w:val="008A0C7A"/>
    <w:rsid w:val="008A400B"/>
    <w:rsid w:val="008A6B25"/>
    <w:rsid w:val="008A6C4F"/>
    <w:rsid w:val="008B2798"/>
    <w:rsid w:val="008B7338"/>
    <w:rsid w:val="008C0560"/>
    <w:rsid w:val="008C12BC"/>
    <w:rsid w:val="008C1E4D"/>
    <w:rsid w:val="008C4671"/>
    <w:rsid w:val="008D2871"/>
    <w:rsid w:val="008D511C"/>
    <w:rsid w:val="008E0E46"/>
    <w:rsid w:val="008F25CC"/>
    <w:rsid w:val="008F5FD0"/>
    <w:rsid w:val="0090452C"/>
    <w:rsid w:val="0090670D"/>
    <w:rsid w:val="00906D7E"/>
    <w:rsid w:val="00907C3F"/>
    <w:rsid w:val="00910180"/>
    <w:rsid w:val="009142DF"/>
    <w:rsid w:val="0091432B"/>
    <w:rsid w:val="00920EDE"/>
    <w:rsid w:val="0092237C"/>
    <w:rsid w:val="009231A3"/>
    <w:rsid w:val="0092374A"/>
    <w:rsid w:val="009251A8"/>
    <w:rsid w:val="0093707B"/>
    <w:rsid w:val="009400EB"/>
    <w:rsid w:val="009401AA"/>
    <w:rsid w:val="009427E3"/>
    <w:rsid w:val="00956D9B"/>
    <w:rsid w:val="00963CBA"/>
    <w:rsid w:val="009654B7"/>
    <w:rsid w:val="009714AF"/>
    <w:rsid w:val="00981199"/>
    <w:rsid w:val="00984BDA"/>
    <w:rsid w:val="00987200"/>
    <w:rsid w:val="00991261"/>
    <w:rsid w:val="009964D1"/>
    <w:rsid w:val="00997A64"/>
    <w:rsid w:val="009A033D"/>
    <w:rsid w:val="009A0B83"/>
    <w:rsid w:val="009B0D25"/>
    <w:rsid w:val="009B3800"/>
    <w:rsid w:val="009C0DA9"/>
    <w:rsid w:val="009C0FDA"/>
    <w:rsid w:val="009C35D1"/>
    <w:rsid w:val="009C4B82"/>
    <w:rsid w:val="009D22AC"/>
    <w:rsid w:val="009D50DB"/>
    <w:rsid w:val="009D79D1"/>
    <w:rsid w:val="009D7DB2"/>
    <w:rsid w:val="009E1C4E"/>
    <w:rsid w:val="009F44EF"/>
    <w:rsid w:val="00A03C2E"/>
    <w:rsid w:val="00A05E0B"/>
    <w:rsid w:val="00A1427D"/>
    <w:rsid w:val="00A30298"/>
    <w:rsid w:val="00A3043F"/>
    <w:rsid w:val="00A3226C"/>
    <w:rsid w:val="00A4634F"/>
    <w:rsid w:val="00A51AD6"/>
    <w:rsid w:val="00A51CF3"/>
    <w:rsid w:val="00A54090"/>
    <w:rsid w:val="00A64102"/>
    <w:rsid w:val="00A72F22"/>
    <w:rsid w:val="00A748A6"/>
    <w:rsid w:val="00A752C5"/>
    <w:rsid w:val="00A77ECC"/>
    <w:rsid w:val="00A84495"/>
    <w:rsid w:val="00A85A1C"/>
    <w:rsid w:val="00A879A4"/>
    <w:rsid w:val="00A87E95"/>
    <w:rsid w:val="00A92D7B"/>
    <w:rsid w:val="00A92E29"/>
    <w:rsid w:val="00A941ED"/>
    <w:rsid w:val="00A97C01"/>
    <w:rsid w:val="00AA4C6F"/>
    <w:rsid w:val="00AB1878"/>
    <w:rsid w:val="00AB1D14"/>
    <w:rsid w:val="00AB2EC7"/>
    <w:rsid w:val="00AB5361"/>
    <w:rsid w:val="00AB6E1E"/>
    <w:rsid w:val="00AC00B8"/>
    <w:rsid w:val="00AC04F7"/>
    <w:rsid w:val="00AD09E9"/>
    <w:rsid w:val="00AE2A99"/>
    <w:rsid w:val="00AE375C"/>
    <w:rsid w:val="00AE47BE"/>
    <w:rsid w:val="00AF0576"/>
    <w:rsid w:val="00AF13FC"/>
    <w:rsid w:val="00AF3829"/>
    <w:rsid w:val="00AF391A"/>
    <w:rsid w:val="00AF55ED"/>
    <w:rsid w:val="00AF648A"/>
    <w:rsid w:val="00B005D8"/>
    <w:rsid w:val="00B037F0"/>
    <w:rsid w:val="00B100C2"/>
    <w:rsid w:val="00B16287"/>
    <w:rsid w:val="00B2327D"/>
    <w:rsid w:val="00B2718F"/>
    <w:rsid w:val="00B30179"/>
    <w:rsid w:val="00B302B9"/>
    <w:rsid w:val="00B3317B"/>
    <w:rsid w:val="00B334DC"/>
    <w:rsid w:val="00B3631A"/>
    <w:rsid w:val="00B40169"/>
    <w:rsid w:val="00B467EA"/>
    <w:rsid w:val="00B53013"/>
    <w:rsid w:val="00B67F5E"/>
    <w:rsid w:val="00B72B2B"/>
    <w:rsid w:val="00B73E65"/>
    <w:rsid w:val="00B81E12"/>
    <w:rsid w:val="00B85DD2"/>
    <w:rsid w:val="00B87110"/>
    <w:rsid w:val="00B910AC"/>
    <w:rsid w:val="00B92872"/>
    <w:rsid w:val="00B97FA8"/>
    <w:rsid w:val="00BA524C"/>
    <w:rsid w:val="00BC1385"/>
    <w:rsid w:val="00BC1F10"/>
    <w:rsid w:val="00BC4130"/>
    <w:rsid w:val="00BC4340"/>
    <w:rsid w:val="00BC4AD9"/>
    <w:rsid w:val="00BC6433"/>
    <w:rsid w:val="00BC74E9"/>
    <w:rsid w:val="00BD5A29"/>
    <w:rsid w:val="00BE33DA"/>
    <w:rsid w:val="00BE4873"/>
    <w:rsid w:val="00BE618E"/>
    <w:rsid w:val="00BF6CE9"/>
    <w:rsid w:val="00C14CCC"/>
    <w:rsid w:val="00C15D01"/>
    <w:rsid w:val="00C24693"/>
    <w:rsid w:val="00C35F0B"/>
    <w:rsid w:val="00C463DD"/>
    <w:rsid w:val="00C54E57"/>
    <w:rsid w:val="00C63686"/>
    <w:rsid w:val="00C64458"/>
    <w:rsid w:val="00C668EF"/>
    <w:rsid w:val="00C66DCD"/>
    <w:rsid w:val="00C745C3"/>
    <w:rsid w:val="00C764B6"/>
    <w:rsid w:val="00C8201E"/>
    <w:rsid w:val="00C84C1D"/>
    <w:rsid w:val="00C91F17"/>
    <w:rsid w:val="00CA2A58"/>
    <w:rsid w:val="00CA4654"/>
    <w:rsid w:val="00CB2B9D"/>
    <w:rsid w:val="00CC0B55"/>
    <w:rsid w:val="00CC0E1C"/>
    <w:rsid w:val="00CC5394"/>
    <w:rsid w:val="00CC7D5D"/>
    <w:rsid w:val="00CD6995"/>
    <w:rsid w:val="00CE4A8F"/>
    <w:rsid w:val="00CE6CEA"/>
    <w:rsid w:val="00CF0214"/>
    <w:rsid w:val="00CF586F"/>
    <w:rsid w:val="00CF7D43"/>
    <w:rsid w:val="00D11129"/>
    <w:rsid w:val="00D13403"/>
    <w:rsid w:val="00D1543A"/>
    <w:rsid w:val="00D2031B"/>
    <w:rsid w:val="00D203D7"/>
    <w:rsid w:val="00D22332"/>
    <w:rsid w:val="00D25FE2"/>
    <w:rsid w:val="00D34008"/>
    <w:rsid w:val="00D4102C"/>
    <w:rsid w:val="00D43252"/>
    <w:rsid w:val="00D539DE"/>
    <w:rsid w:val="00D550F9"/>
    <w:rsid w:val="00D56232"/>
    <w:rsid w:val="00D572B0"/>
    <w:rsid w:val="00D57CE5"/>
    <w:rsid w:val="00D62E90"/>
    <w:rsid w:val="00D72A90"/>
    <w:rsid w:val="00D76580"/>
    <w:rsid w:val="00D76BE5"/>
    <w:rsid w:val="00D832E6"/>
    <w:rsid w:val="00D865C3"/>
    <w:rsid w:val="00D97025"/>
    <w:rsid w:val="00D973EA"/>
    <w:rsid w:val="00D978C6"/>
    <w:rsid w:val="00DA67AD"/>
    <w:rsid w:val="00DB18CE"/>
    <w:rsid w:val="00DB30B0"/>
    <w:rsid w:val="00DB7AC0"/>
    <w:rsid w:val="00DD0FB8"/>
    <w:rsid w:val="00DD2F0B"/>
    <w:rsid w:val="00DD3AA7"/>
    <w:rsid w:val="00DD3D15"/>
    <w:rsid w:val="00DD7302"/>
    <w:rsid w:val="00DE19C4"/>
    <w:rsid w:val="00DE3EC0"/>
    <w:rsid w:val="00DE6A78"/>
    <w:rsid w:val="00DF5842"/>
    <w:rsid w:val="00DF75EF"/>
    <w:rsid w:val="00E11593"/>
    <w:rsid w:val="00E11EC8"/>
    <w:rsid w:val="00E12B6B"/>
    <w:rsid w:val="00E12CEB"/>
    <w:rsid w:val="00E130AB"/>
    <w:rsid w:val="00E27AE7"/>
    <w:rsid w:val="00E35D62"/>
    <w:rsid w:val="00E365D3"/>
    <w:rsid w:val="00E408FE"/>
    <w:rsid w:val="00E438D9"/>
    <w:rsid w:val="00E5644E"/>
    <w:rsid w:val="00E63B98"/>
    <w:rsid w:val="00E641D5"/>
    <w:rsid w:val="00E6762A"/>
    <w:rsid w:val="00E7260F"/>
    <w:rsid w:val="00E7471C"/>
    <w:rsid w:val="00E767DA"/>
    <w:rsid w:val="00E806EE"/>
    <w:rsid w:val="00E85BC5"/>
    <w:rsid w:val="00E92C9D"/>
    <w:rsid w:val="00E94982"/>
    <w:rsid w:val="00E96630"/>
    <w:rsid w:val="00E974A0"/>
    <w:rsid w:val="00EA2B76"/>
    <w:rsid w:val="00EA4994"/>
    <w:rsid w:val="00EB0FB9"/>
    <w:rsid w:val="00EB45DD"/>
    <w:rsid w:val="00EB772B"/>
    <w:rsid w:val="00EC10A3"/>
    <w:rsid w:val="00EC2765"/>
    <w:rsid w:val="00ED01BE"/>
    <w:rsid w:val="00ED0CA9"/>
    <w:rsid w:val="00ED5A70"/>
    <w:rsid w:val="00ED7A2A"/>
    <w:rsid w:val="00EE5702"/>
    <w:rsid w:val="00EF1D7F"/>
    <w:rsid w:val="00EF382E"/>
    <w:rsid w:val="00EF4187"/>
    <w:rsid w:val="00EF5BDB"/>
    <w:rsid w:val="00EF659C"/>
    <w:rsid w:val="00F04D5E"/>
    <w:rsid w:val="00F07FD9"/>
    <w:rsid w:val="00F1089B"/>
    <w:rsid w:val="00F10D43"/>
    <w:rsid w:val="00F12D35"/>
    <w:rsid w:val="00F15416"/>
    <w:rsid w:val="00F23933"/>
    <w:rsid w:val="00F24119"/>
    <w:rsid w:val="00F40E75"/>
    <w:rsid w:val="00F42CD9"/>
    <w:rsid w:val="00F42E25"/>
    <w:rsid w:val="00F45940"/>
    <w:rsid w:val="00F46F04"/>
    <w:rsid w:val="00F50321"/>
    <w:rsid w:val="00F52936"/>
    <w:rsid w:val="00F647F3"/>
    <w:rsid w:val="00F677CB"/>
    <w:rsid w:val="00F82B4B"/>
    <w:rsid w:val="00F844FF"/>
    <w:rsid w:val="00FA7DF3"/>
    <w:rsid w:val="00FC179A"/>
    <w:rsid w:val="00FC68B7"/>
    <w:rsid w:val="00FD39F3"/>
    <w:rsid w:val="00FD60C3"/>
    <w:rsid w:val="00FD7C12"/>
    <w:rsid w:val="00FE569B"/>
    <w:rsid w:val="00FE7BB7"/>
    <w:rsid w:val="00FF1134"/>
    <w:rsid w:val="00FF5A5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21F4FE"/>
  <w15:docId w15:val="{ADC2CC53-A628-435B-A5B6-3E9BBF1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5A6CB6"/>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252D0"/>
    <w:rPr>
      <w:rFonts w:ascii="Lucida Grande" w:hAnsi="Lucida Grande" w:cs="Lucida Grande"/>
      <w:sz w:val="18"/>
      <w:szCs w:val="18"/>
    </w:rPr>
  </w:style>
  <w:style w:type="character" w:customStyle="1" w:styleId="BalloonTextChar0">
    <w:name w:val="Balloon Text Char"/>
    <w:basedOn w:val="DefaultParagraphFont"/>
    <w:uiPriority w:val="99"/>
    <w:semiHidden/>
    <w:rsid w:val="007252D0"/>
    <w:rPr>
      <w:rFonts w:ascii="Lucida Grande" w:hAnsi="Lucida Grande" w:cs="Lucida Grande"/>
      <w:sz w:val="18"/>
      <w:szCs w:val="18"/>
    </w:rPr>
  </w:style>
  <w:style w:type="character" w:customStyle="1" w:styleId="BalloonTextChar2">
    <w:name w:val="Balloon Text Char"/>
    <w:basedOn w:val="DefaultParagraphFont"/>
    <w:uiPriority w:val="99"/>
    <w:semiHidden/>
    <w:rsid w:val="007252D0"/>
    <w:rPr>
      <w:rFonts w:ascii="Lucida Grande" w:hAnsi="Lucida Grande" w:cs="Lucida Grande"/>
      <w:sz w:val="18"/>
      <w:szCs w:val="18"/>
    </w:rPr>
  </w:style>
  <w:style w:type="character" w:customStyle="1" w:styleId="BalloonTextChar3">
    <w:name w:val="Balloon Text Char"/>
    <w:basedOn w:val="DefaultParagraphFont"/>
    <w:uiPriority w:val="99"/>
    <w:semiHidden/>
    <w:rsid w:val="006F03DE"/>
    <w:rPr>
      <w:rFonts w:ascii="Lucida Grande" w:hAnsi="Lucida Grande" w:cs="Lucida Grande"/>
      <w:sz w:val="18"/>
      <w:szCs w:val="18"/>
    </w:rPr>
  </w:style>
  <w:style w:type="character" w:customStyle="1" w:styleId="BalloonTextChar4">
    <w:name w:val="Balloon Text Char"/>
    <w:basedOn w:val="DefaultParagraphFont"/>
    <w:uiPriority w:val="99"/>
    <w:semiHidden/>
    <w:rsid w:val="006F03DE"/>
    <w:rPr>
      <w:rFonts w:ascii="Lucida Grande" w:hAnsi="Lucida Grande" w:cs="Lucida Grande"/>
      <w:sz w:val="18"/>
      <w:szCs w:val="18"/>
    </w:rPr>
  </w:style>
  <w:style w:type="character" w:customStyle="1" w:styleId="BalloonTextChar5">
    <w:name w:val="Balloon Text Char"/>
    <w:basedOn w:val="DefaultParagraphFont"/>
    <w:uiPriority w:val="99"/>
    <w:semiHidden/>
    <w:rsid w:val="006F03DE"/>
    <w:rPr>
      <w:rFonts w:ascii="Lucida Grande" w:hAnsi="Lucida Grande" w:cs="Lucida Grande"/>
      <w:sz w:val="18"/>
      <w:szCs w:val="18"/>
    </w:rPr>
  </w:style>
  <w:style w:type="character" w:customStyle="1" w:styleId="BalloonTextChar6">
    <w:name w:val="Balloon Text Char"/>
    <w:basedOn w:val="DefaultParagraphFont"/>
    <w:uiPriority w:val="99"/>
    <w:semiHidden/>
    <w:rsid w:val="006F03DE"/>
    <w:rPr>
      <w:rFonts w:ascii="Lucida Grande" w:hAnsi="Lucida Grande" w:cs="Lucida Grande"/>
      <w:sz w:val="18"/>
      <w:szCs w:val="18"/>
    </w:rPr>
  </w:style>
  <w:style w:type="character" w:customStyle="1" w:styleId="BalloonTextChar7">
    <w:name w:val="Balloon Text Char"/>
    <w:basedOn w:val="DefaultParagraphFont"/>
    <w:uiPriority w:val="99"/>
    <w:semiHidden/>
    <w:rsid w:val="002F08F1"/>
    <w:rPr>
      <w:rFonts w:ascii="Lucida Grande" w:hAnsi="Lucida Grande"/>
      <w:sz w:val="18"/>
      <w:szCs w:val="18"/>
    </w:rPr>
  </w:style>
  <w:style w:type="character" w:customStyle="1" w:styleId="BalloonTextChar8">
    <w:name w:val="Balloon Text Char"/>
    <w:basedOn w:val="DefaultParagraphFont"/>
    <w:uiPriority w:val="99"/>
    <w:semiHidden/>
    <w:rsid w:val="002F08F1"/>
    <w:rPr>
      <w:rFonts w:ascii="Lucida Grande" w:hAnsi="Lucida Grande"/>
      <w:sz w:val="18"/>
      <w:szCs w:val="18"/>
    </w:rPr>
  </w:style>
  <w:style w:type="character" w:customStyle="1" w:styleId="BalloonTextChar9">
    <w:name w:val="Balloon Text Char"/>
    <w:basedOn w:val="DefaultParagraphFont"/>
    <w:uiPriority w:val="99"/>
    <w:semiHidden/>
    <w:rsid w:val="003C2DDA"/>
    <w:rPr>
      <w:rFonts w:ascii="Lucida Grande" w:hAnsi="Lucida Grande"/>
      <w:sz w:val="18"/>
      <w:szCs w:val="18"/>
    </w:rPr>
  </w:style>
  <w:style w:type="character" w:customStyle="1" w:styleId="BalloonTextChara">
    <w:name w:val="Balloon Text Char"/>
    <w:basedOn w:val="DefaultParagraphFont"/>
    <w:uiPriority w:val="99"/>
    <w:semiHidden/>
    <w:rsid w:val="003C2DDA"/>
    <w:rPr>
      <w:rFonts w:ascii="Lucida Grande" w:hAnsi="Lucida Grande"/>
      <w:sz w:val="18"/>
      <w:szCs w:val="18"/>
    </w:rPr>
  </w:style>
  <w:style w:type="character" w:customStyle="1" w:styleId="BalloonTextCharb">
    <w:name w:val="Balloon Text Char"/>
    <w:basedOn w:val="DefaultParagraphFont"/>
    <w:uiPriority w:val="99"/>
    <w:semiHidden/>
    <w:rsid w:val="003C2DDA"/>
    <w:rPr>
      <w:rFonts w:ascii="Lucida Grande" w:hAnsi="Lucida Grande"/>
      <w:sz w:val="18"/>
      <w:szCs w:val="18"/>
    </w:rPr>
  </w:style>
  <w:style w:type="character" w:customStyle="1" w:styleId="BalloonTextCharc">
    <w:name w:val="Balloon Text Char"/>
    <w:basedOn w:val="DefaultParagraphFont"/>
    <w:uiPriority w:val="99"/>
    <w:semiHidden/>
    <w:rsid w:val="003C2DDA"/>
    <w:rPr>
      <w:rFonts w:ascii="Lucida Grande" w:hAnsi="Lucida Grande"/>
      <w:sz w:val="18"/>
      <w:szCs w:val="18"/>
    </w:rPr>
  </w:style>
  <w:style w:type="character" w:customStyle="1" w:styleId="BalloonTextChard">
    <w:name w:val="Balloon Text Char"/>
    <w:basedOn w:val="DefaultParagraphFont"/>
    <w:uiPriority w:val="99"/>
    <w:semiHidden/>
    <w:rsid w:val="003C2DDA"/>
    <w:rPr>
      <w:rFonts w:ascii="Lucida Grande" w:hAnsi="Lucida Grande"/>
      <w:sz w:val="18"/>
      <w:szCs w:val="18"/>
    </w:rPr>
  </w:style>
  <w:style w:type="character" w:customStyle="1" w:styleId="BalloonTextChare">
    <w:name w:val="Balloon Text Char"/>
    <w:basedOn w:val="DefaultParagraphFont"/>
    <w:uiPriority w:val="99"/>
    <w:semiHidden/>
    <w:rsid w:val="003C2DDA"/>
    <w:rPr>
      <w:rFonts w:ascii="Lucida Grande" w:hAnsi="Lucida Grande"/>
      <w:sz w:val="18"/>
      <w:szCs w:val="18"/>
    </w:rPr>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1GChar">
    <w:name w:val="_ H_1_G Char"/>
    <w:link w:val="H1G"/>
    <w:rsid w:val="00FE7BB7"/>
    <w:rPr>
      <w:b/>
      <w:sz w:val="24"/>
      <w:lang w:val="en-GB" w:eastAsia="en-US" w:bidi="ar-SA"/>
    </w:rPr>
  </w:style>
  <w:style w:type="character" w:customStyle="1" w:styleId="SingleTxtGChar">
    <w:name w:val="_ Single Txt_G Char"/>
    <w:link w:val="SingleTxtG"/>
    <w:rsid w:val="00FE7BB7"/>
    <w:rPr>
      <w:lang w:val="en-GB" w:eastAsia="en-US" w:bidi="ar-SA"/>
    </w:rPr>
  </w:style>
  <w:style w:type="character" w:customStyle="1" w:styleId="BalloonTextChar1">
    <w:name w:val="Balloon Text Char1"/>
    <w:link w:val="BalloonText"/>
    <w:rsid w:val="005A6CB6"/>
    <w:rPr>
      <w:rFonts w:ascii="Tahoma" w:hAnsi="Tahoma" w:cs="Tahoma"/>
      <w:sz w:val="16"/>
      <w:szCs w:val="16"/>
      <w:lang w:eastAsia="en-US"/>
    </w:rPr>
  </w:style>
  <w:style w:type="character" w:styleId="CommentReference">
    <w:name w:val="annotation reference"/>
    <w:rsid w:val="00BC4AD9"/>
    <w:rPr>
      <w:sz w:val="16"/>
      <w:szCs w:val="16"/>
    </w:rPr>
  </w:style>
  <w:style w:type="paragraph" w:styleId="CommentText">
    <w:name w:val="annotation text"/>
    <w:basedOn w:val="Normal"/>
    <w:link w:val="CommentTextChar"/>
    <w:rsid w:val="00BC4AD9"/>
  </w:style>
  <w:style w:type="character" w:customStyle="1" w:styleId="CommentTextChar">
    <w:name w:val="Comment Text Char"/>
    <w:link w:val="CommentText"/>
    <w:rsid w:val="00BC4AD9"/>
    <w:rPr>
      <w:lang w:eastAsia="en-US"/>
    </w:rPr>
  </w:style>
  <w:style w:type="paragraph" w:styleId="CommentSubject">
    <w:name w:val="annotation subject"/>
    <w:basedOn w:val="CommentText"/>
    <w:next w:val="CommentText"/>
    <w:link w:val="CommentSubjectChar"/>
    <w:rsid w:val="00BC4AD9"/>
    <w:rPr>
      <w:b/>
      <w:bCs/>
    </w:rPr>
  </w:style>
  <w:style w:type="character" w:customStyle="1" w:styleId="CommentSubjectChar">
    <w:name w:val="Comment Subject Char"/>
    <w:link w:val="CommentSubject"/>
    <w:rsid w:val="00BC4AD9"/>
    <w:rPr>
      <w:b/>
      <w:bCs/>
      <w:lang w:eastAsia="en-US"/>
    </w:rPr>
  </w:style>
  <w:style w:type="paragraph" w:styleId="Revision">
    <w:name w:val="Revision"/>
    <w:hidden/>
    <w:uiPriority w:val="99"/>
    <w:semiHidden/>
    <w:rsid w:val="00BC4AD9"/>
    <w:rPr>
      <w:lang w:eastAsia="en-US"/>
    </w:rPr>
  </w:style>
  <w:style w:type="paragraph" w:styleId="NormalWeb">
    <w:name w:val="Normal (Web)"/>
    <w:basedOn w:val="Normal"/>
    <w:uiPriority w:val="99"/>
    <w:rsid w:val="00D865C3"/>
    <w:pPr>
      <w:suppressAutoHyphens w:val="0"/>
      <w:spacing w:beforeLines="1" w:afterLines="1" w:line="240" w:lineRule="auto"/>
    </w:pPr>
    <w:rPr>
      <w:rFonts w:ascii="Times" w:eastAsiaTheme="minorHAnsi"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3498">
      <w:bodyDiv w:val="1"/>
      <w:marLeft w:val="0"/>
      <w:marRight w:val="0"/>
      <w:marTop w:val="0"/>
      <w:marBottom w:val="0"/>
      <w:divBdr>
        <w:top w:val="none" w:sz="0" w:space="0" w:color="auto"/>
        <w:left w:val="none" w:sz="0" w:space="0" w:color="auto"/>
        <w:bottom w:val="none" w:sz="0" w:space="0" w:color="auto"/>
        <w:right w:val="none" w:sz="0" w:space="0" w:color="auto"/>
      </w:divBdr>
      <w:divsChild>
        <w:div w:id="372849258">
          <w:marLeft w:val="0"/>
          <w:marRight w:val="0"/>
          <w:marTop w:val="0"/>
          <w:marBottom w:val="0"/>
          <w:divBdr>
            <w:top w:val="none" w:sz="0" w:space="0" w:color="auto"/>
            <w:left w:val="none" w:sz="0" w:space="0" w:color="auto"/>
            <w:bottom w:val="none" w:sz="0" w:space="0" w:color="auto"/>
            <w:right w:val="none" w:sz="0" w:space="0" w:color="auto"/>
          </w:divBdr>
          <w:divsChild>
            <w:div w:id="1962804472">
              <w:marLeft w:val="0"/>
              <w:marRight w:val="0"/>
              <w:marTop w:val="0"/>
              <w:marBottom w:val="0"/>
              <w:divBdr>
                <w:top w:val="none" w:sz="0" w:space="0" w:color="auto"/>
                <w:left w:val="none" w:sz="0" w:space="0" w:color="auto"/>
                <w:bottom w:val="none" w:sz="0" w:space="0" w:color="auto"/>
                <w:right w:val="none" w:sz="0" w:space="0" w:color="auto"/>
              </w:divBdr>
              <w:divsChild>
                <w:div w:id="16163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6138">
      <w:bodyDiv w:val="1"/>
      <w:marLeft w:val="0"/>
      <w:marRight w:val="0"/>
      <w:marTop w:val="0"/>
      <w:marBottom w:val="0"/>
      <w:divBdr>
        <w:top w:val="none" w:sz="0" w:space="0" w:color="auto"/>
        <w:left w:val="none" w:sz="0" w:space="0" w:color="auto"/>
        <w:bottom w:val="none" w:sz="0" w:space="0" w:color="auto"/>
        <w:right w:val="none" w:sz="0" w:space="0" w:color="auto"/>
      </w:divBdr>
      <w:divsChild>
        <w:div w:id="1050960014">
          <w:marLeft w:val="0"/>
          <w:marRight w:val="0"/>
          <w:marTop w:val="0"/>
          <w:marBottom w:val="0"/>
          <w:divBdr>
            <w:top w:val="none" w:sz="0" w:space="0" w:color="auto"/>
            <w:left w:val="none" w:sz="0" w:space="0" w:color="auto"/>
            <w:bottom w:val="none" w:sz="0" w:space="0" w:color="auto"/>
            <w:right w:val="none" w:sz="0" w:space="0" w:color="auto"/>
          </w:divBdr>
          <w:divsChild>
            <w:div w:id="528684235">
              <w:marLeft w:val="0"/>
              <w:marRight w:val="0"/>
              <w:marTop w:val="0"/>
              <w:marBottom w:val="0"/>
              <w:divBdr>
                <w:top w:val="none" w:sz="0" w:space="0" w:color="auto"/>
                <w:left w:val="none" w:sz="0" w:space="0" w:color="auto"/>
                <w:bottom w:val="none" w:sz="0" w:space="0" w:color="auto"/>
                <w:right w:val="none" w:sz="0" w:space="0" w:color="auto"/>
              </w:divBdr>
              <w:divsChild>
                <w:div w:id="6071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1122">
      <w:bodyDiv w:val="1"/>
      <w:marLeft w:val="0"/>
      <w:marRight w:val="0"/>
      <w:marTop w:val="0"/>
      <w:marBottom w:val="0"/>
      <w:divBdr>
        <w:top w:val="none" w:sz="0" w:space="0" w:color="auto"/>
        <w:left w:val="none" w:sz="0" w:space="0" w:color="auto"/>
        <w:bottom w:val="none" w:sz="0" w:space="0" w:color="auto"/>
        <w:right w:val="none" w:sz="0" w:space="0" w:color="auto"/>
      </w:divBdr>
      <w:divsChild>
        <w:div w:id="1344670700">
          <w:marLeft w:val="0"/>
          <w:marRight w:val="0"/>
          <w:marTop w:val="0"/>
          <w:marBottom w:val="0"/>
          <w:divBdr>
            <w:top w:val="none" w:sz="0" w:space="0" w:color="auto"/>
            <w:left w:val="none" w:sz="0" w:space="0" w:color="auto"/>
            <w:bottom w:val="none" w:sz="0" w:space="0" w:color="auto"/>
            <w:right w:val="none" w:sz="0" w:space="0" w:color="auto"/>
          </w:divBdr>
          <w:divsChild>
            <w:div w:id="851533305">
              <w:marLeft w:val="0"/>
              <w:marRight w:val="0"/>
              <w:marTop w:val="0"/>
              <w:marBottom w:val="0"/>
              <w:divBdr>
                <w:top w:val="none" w:sz="0" w:space="0" w:color="auto"/>
                <w:left w:val="none" w:sz="0" w:space="0" w:color="auto"/>
                <w:bottom w:val="none" w:sz="0" w:space="0" w:color="auto"/>
                <w:right w:val="none" w:sz="0" w:space="0" w:color="auto"/>
              </w:divBdr>
              <w:divsChild>
                <w:div w:id="4120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27515">
      <w:bodyDiv w:val="1"/>
      <w:marLeft w:val="0"/>
      <w:marRight w:val="0"/>
      <w:marTop w:val="0"/>
      <w:marBottom w:val="0"/>
      <w:divBdr>
        <w:top w:val="none" w:sz="0" w:space="0" w:color="auto"/>
        <w:left w:val="none" w:sz="0" w:space="0" w:color="auto"/>
        <w:bottom w:val="none" w:sz="0" w:space="0" w:color="auto"/>
        <w:right w:val="none" w:sz="0" w:space="0" w:color="auto"/>
      </w:divBdr>
      <w:divsChild>
        <w:div w:id="590358230">
          <w:marLeft w:val="0"/>
          <w:marRight w:val="0"/>
          <w:marTop w:val="0"/>
          <w:marBottom w:val="0"/>
          <w:divBdr>
            <w:top w:val="none" w:sz="0" w:space="0" w:color="auto"/>
            <w:left w:val="none" w:sz="0" w:space="0" w:color="auto"/>
            <w:bottom w:val="none" w:sz="0" w:space="0" w:color="auto"/>
            <w:right w:val="none" w:sz="0" w:space="0" w:color="auto"/>
          </w:divBdr>
          <w:divsChild>
            <w:div w:id="1326472409">
              <w:marLeft w:val="0"/>
              <w:marRight w:val="0"/>
              <w:marTop w:val="0"/>
              <w:marBottom w:val="0"/>
              <w:divBdr>
                <w:top w:val="none" w:sz="0" w:space="0" w:color="auto"/>
                <w:left w:val="none" w:sz="0" w:space="0" w:color="auto"/>
                <w:bottom w:val="none" w:sz="0" w:space="0" w:color="auto"/>
                <w:right w:val="none" w:sz="0" w:space="0" w:color="auto"/>
              </w:divBdr>
              <w:divsChild>
                <w:div w:id="6513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 xsi:nil="true"/>
      <Description xsi:nil="true"/>
    </Other_x0020_Languages>
    <Type_x0020_of_x0020_Document xmlns="03f70f19-e89e-44b9-ac87-203e4f9d8d9f">3 - L. document as received</Type_x0020_of_x0020_Document>
    <Symbol_x0020_Number xmlns="03f70f19-e89e-44b9-ac87-203e4f9d8d9f">A_HRC_31_L.39</Symbol_x0020_Number>
    <Voting_x0020_Process_x0020_Order xmlns="03f70f19-e89e-44b9-ac87-203e4f9d8d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84F9F16A1564F97E89A762436AFFF" ma:contentTypeVersion="12" ma:contentTypeDescription="Create a new document." ma:contentTypeScope="" ma:versionID="f5512c6e1656410710cebe813b008ae2">
  <xsd:schema xmlns:xsd="http://www.w3.org/2001/XMLSchema" xmlns:xs="http://www.w3.org/2001/XMLSchema" xmlns:p="http://schemas.microsoft.com/office/2006/metadata/properties" xmlns:ns2="03f70f19-e89e-44b9-ac87-203e4f9d8d9f" targetNamespace="http://schemas.microsoft.com/office/2006/metadata/properties" ma:root="true" ma:fieldsID="01a7bdfd6d19910c7b989aaf25dfaf8c"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Number" ma:internalName="Symbol_x0020_Number" ma:readOnly="false">
      <xsd:simpleType>
        <xsd:restriction base="dms:Text">
          <xsd:maxLength value="255"/>
        </xsd:restriction>
      </xsd:simpleType>
    </xsd:element>
    <xsd:element name="Type_x0020_of_x0020_Document" ma:index="9" nillable="true" ma:displayName="Type of Document" ma:default="3 - L. document as received" ma:format="Dropdown" ma:internalName="Type_x0020_of_x0020_Document">
      <xsd:simpleType>
        <xsd:restriction base="dms:Choice">
          <xsd:enumeration value="3 - L. document as received"/>
          <xsd:enumeration value="2 - L. document as issued"/>
          <xsd:enumeration value="Final document as adopted"/>
          <xsd:enumeration value="Introductory Statement"/>
          <xsd:enumeration value="Oral revisions"/>
          <xsd:enumeration value="PBI"/>
          <xsd:enumeration value="1 - Voting Process"/>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4CD2-5603-4878-9F20-6D90DBBA610E}">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03f70f19-e89e-44b9-ac87-203e4f9d8d9f"/>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698904-AE0F-4B37-91ED-3EE80F404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6B962-C5FF-4F18-B6AE-EFB38B88228D}">
  <ds:schemaRefs>
    <ds:schemaRef ds:uri="http://schemas.microsoft.com/sharepoint/v3/contenttype/forms"/>
  </ds:schemaRefs>
</ds:datastoreItem>
</file>

<file path=customXml/itemProps4.xml><?xml version="1.0" encoding="utf-8"?>
<ds:datastoreItem xmlns:ds="http://schemas.openxmlformats.org/officeDocument/2006/customXml" ds:itemID="{1A110447-474E-402D-B5C2-DDDE6DEE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4007</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L.39 as received</vt:lpstr>
    </vt:vector>
  </TitlesOfParts>
  <Company>CSD</Company>
  <LinksUpToDate>false</LinksUpToDate>
  <CharactersWithSpaces>26794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L.39 as received</dc:title>
  <dc:creator>Kiatsurayanon</dc:creator>
  <cp:lastModifiedBy>Sarah Willig</cp:lastModifiedBy>
  <cp:revision>2</cp:revision>
  <cp:lastPrinted>2016-03-18T11:45:00Z</cp:lastPrinted>
  <dcterms:created xsi:type="dcterms:W3CDTF">2016-03-21T10:35:00Z</dcterms:created>
  <dcterms:modified xsi:type="dcterms:W3CDTF">2016-03-21T10:35:00Z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0x0101009F284F9F16A1564F97E89A762436AFFF</vt:lpwstr>
  </property>
</Properties>
</file>